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附件1：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子 活 动 申 报 书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子活动名称：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ascii="仿宋_GB2312" w:hAnsi="宋体" w:eastAsia="仿宋_GB2312"/>
          <w:sz w:val="32"/>
          <w:szCs w:val="32"/>
        </w:rPr>
        <w:t>名称：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项目单位：中国地质大学（北京）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主管部门：教育部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申报日期：  年  月  日  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子活动代码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选择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四</w:t>
            </w:r>
            <w:r>
              <w:rPr>
                <w:rFonts w:ascii="宋体" w:hAnsi="宋体" w:eastAsia="宋体"/>
                <w:szCs w:val="21"/>
              </w:rPr>
              <w:t>个项目中的一个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</w:t>
            </w:r>
            <w:r>
              <w:rPr>
                <w:rFonts w:ascii="宋体" w:hAnsi="宋体" w:eastAsia="宋体"/>
                <w:szCs w:val="21"/>
              </w:rPr>
              <w:t>活动</w:t>
            </w:r>
            <w:r>
              <w:rPr>
                <w:rFonts w:hint="eastAsia" w:ascii="宋体" w:hAnsi="宋体" w:eastAsia="宋体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1.安防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2.消防□      3.防雷□     4.教室修缮□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16.教学实验室设备购置□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（对</w:t>
            </w:r>
            <w:r>
              <w:rPr>
                <w:rFonts w:ascii="宋体" w:hAnsi="宋体" w:eastAsia="宋体"/>
                <w:szCs w:val="21"/>
              </w:rPr>
              <w:t>子活动</w:t>
            </w:r>
            <w:r>
              <w:rPr>
                <w:rFonts w:hint="eastAsia" w:ascii="宋体" w:hAnsi="宋体" w:eastAsia="宋体"/>
                <w:szCs w:val="21"/>
              </w:rPr>
              <w:t>进行</w:t>
            </w:r>
            <w:r>
              <w:rPr>
                <w:rFonts w:ascii="宋体" w:hAnsi="宋体" w:eastAsia="宋体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必要性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（子</w:t>
            </w:r>
            <w:r>
              <w:rPr>
                <w:rFonts w:ascii="宋体" w:hAnsi="宋体" w:eastAsia="宋体"/>
                <w:szCs w:val="21"/>
              </w:rPr>
              <w:t>活动</w:t>
            </w:r>
            <w:r>
              <w:rPr>
                <w:rFonts w:hint="eastAsia" w:ascii="宋体" w:hAnsi="宋体" w:eastAsia="宋体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（子</w:t>
            </w:r>
            <w:r>
              <w:rPr>
                <w:rFonts w:ascii="宋体" w:hAnsi="宋体" w:eastAsia="宋体"/>
                <w:szCs w:val="21"/>
              </w:rPr>
              <w:t>活动</w:t>
            </w:r>
            <w:r>
              <w:rPr>
                <w:rFonts w:hint="eastAsia" w:ascii="宋体" w:hAnsi="宋体" w:eastAsia="宋体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Cs w:val="21"/>
              </w:rPr>
              <w:t>活动</w:t>
            </w:r>
            <w:r>
              <w:rPr>
                <w:rFonts w:hint="eastAsia" w:ascii="宋体" w:hAnsi="宋体" w:eastAsia="宋体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单位：万元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子活</w:t>
            </w:r>
            <w:r>
              <w:rPr>
                <w:rFonts w:ascii="宋体" w:hAnsi="宋体" w:eastAsia="宋体"/>
                <w:szCs w:val="21"/>
              </w:rPr>
              <w:t>动</w:t>
            </w:r>
            <w:r>
              <w:rPr>
                <w:rFonts w:hint="eastAsia" w:ascii="宋体" w:hAnsi="宋体" w:eastAsia="宋体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-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position w:val="-1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维修维护费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3.材料费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</w:pPr>
    </w:p>
    <w:p>
      <w:pPr>
        <w:pStyle w:val="2"/>
        <w:autoSpaceDE w:val="0"/>
        <w:autoSpaceDN w:val="0"/>
        <w:spacing w:before="66" w:line="500" w:lineRule="exact"/>
        <w:ind w:left="0" w:right="216"/>
        <w:jc w:val="center"/>
        <w:rPr>
          <w:rFonts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before="66" w:line="500" w:lineRule="exact"/>
        <w:ind w:left="0" w:right="216"/>
        <w:jc w:val="center"/>
        <w:rPr>
          <w:rFonts w:ascii="仿宋_GB2312" w:hAnsi="仿宋_GB2312" w:eastAsia="仿宋_GB2312" w:cs="仿宋_GB2312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NzQ2ZjVmOTIzYTRmMTJhNzBmMThkNWVjZjhkZGQifQ=="/>
  </w:docVars>
  <w:rsids>
    <w:rsidRoot w:val="397B2089"/>
    <w:rsid w:val="00190C79"/>
    <w:rsid w:val="00556BF8"/>
    <w:rsid w:val="006E5D7C"/>
    <w:rsid w:val="00835439"/>
    <w:rsid w:val="06712BB6"/>
    <w:rsid w:val="0A05687F"/>
    <w:rsid w:val="21003FC5"/>
    <w:rsid w:val="258755FA"/>
    <w:rsid w:val="397B2089"/>
    <w:rsid w:val="3DBC60F9"/>
    <w:rsid w:val="582A46B6"/>
    <w:rsid w:val="615E6B20"/>
    <w:rsid w:val="6B5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2371</Words>
  <Characters>2530</Characters>
  <Lines>22</Lines>
  <Paragraphs>6</Paragraphs>
  <TotalTime>1</TotalTime>
  <ScaleCrop>false</ScaleCrop>
  <LinksUpToDate>false</LinksUpToDate>
  <CharactersWithSpaces>2687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2023-05-18T10:12:00Z</dcterms:created>
  <dc:creator>WPS_1455600504</dc:creator>
  <cp:lastModifiedBy>端 端</cp:lastModifiedBy>
  <cp:lastPrinted>2023-05-18T07:22:00Z</cp:lastPrinted>
  <dcterms:modified xsi:type="dcterms:W3CDTF">2023-05-19T08:45:23Z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1F19B9A1D2FD4E18A35125993054A072_11</vt:lpwstr>
  </property>
</Properties>
</file>