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3F58">
      <w:pPr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1</w:t>
      </w:r>
    </w:p>
    <w:p w14:paraId="2BCFBB22"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中国地质大学（北京）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eastAsia="方正小标宋简体"/>
          <w:sz w:val="36"/>
          <w:szCs w:val="36"/>
          <w:lang w:val="en-US" w:eastAsia="zh-CN"/>
        </w:rPr>
        <w:t>三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课程思政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教学创新大赛</w:t>
      </w:r>
    </w:p>
    <w:p w14:paraId="5B4AC89D"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评分标准</w:t>
      </w:r>
      <w:bookmarkStart w:id="0" w:name="_GoBack"/>
      <w:bookmarkEnd w:id="0"/>
    </w:p>
    <w:p w14:paraId="455EDC53">
      <w:pPr>
        <w:spacing w:before="156" w:beforeLines="50" w:after="156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一、课堂教学实录视频（40分）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090"/>
      </w:tblGrid>
      <w:tr w14:paraId="6C88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4127"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6FAD"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 w14:paraId="3E65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67C6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教学理念</w:t>
            </w:r>
          </w:p>
          <w:p w14:paraId="417DEF1F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与目标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4A16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14:paraId="6DE0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F2FC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A06A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14:paraId="58E9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1815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DC56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 w14:paraId="6311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B44D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B4B5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 w14:paraId="19D5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8512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BEF6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14:paraId="6E7C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0B6D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242D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14:paraId="532A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07CB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B802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14:paraId="1FD5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64AA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7BC3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14:paraId="27D6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1F0A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A2D7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14:paraId="54BF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E595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教学效果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7334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14:paraId="64F2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C3F1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D715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14:paraId="73BA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68B5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BB12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形成突显专业特色、符合学生特点的教学模式，具有较大借鉴和推广价值。</w:t>
            </w:r>
          </w:p>
        </w:tc>
      </w:tr>
      <w:tr w14:paraId="72AF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C8CE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4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61DF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0BFAB654">
      <w:pPr>
        <w:spacing w:before="156" w:beforeLines="50" w:after="156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</w:p>
    <w:p w14:paraId="5611CC1B">
      <w:pPr>
        <w:spacing w:before="156" w:beforeLines="50" w:after="156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二、课程思政创新报告（20分）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101"/>
      </w:tblGrid>
      <w:tr w14:paraId="1D05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0A0B"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007E"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 w14:paraId="17B4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0A8C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问题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导向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AA8C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 w14:paraId="1C2D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02B4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创新举措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7B2D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 w14:paraId="2A66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4F8D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创新效果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94E2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 w14:paraId="078F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0C53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成果辐射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9D87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 w14:paraId="143BA9A9">
      <w:pPr>
        <w:spacing w:before="156" w:beforeLines="50" w:after="156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三、教学设计创新汇报（40分）</w:t>
      </w:r>
    </w:p>
    <w:tbl>
      <w:tblPr>
        <w:tblStyle w:val="3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6988"/>
      </w:tblGrid>
      <w:tr w14:paraId="74F3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82A6"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F45F">
            <w:pPr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 w14:paraId="70C1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CC99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理念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D8EF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14:paraId="3A15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EFFB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总体设计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3065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14:paraId="6E21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A2FA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教学目标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385F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14:paraId="7565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828F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学情分析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6E02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14:paraId="5EA7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6357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eastAsia="en-US" w:bidi="en-US"/>
              </w:rPr>
              <w:t>内容分析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DF17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 w14:paraId="55FA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DF9A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过程与方法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FC67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14:paraId="5FF5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1CC0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9DF4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14:paraId="0D1B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FA17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41F0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 w14:paraId="4665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79FA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考评与反馈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534C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14:paraId="1A2A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2B8A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设计创新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0EB3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14:paraId="40C3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F6CD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文档规范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04C4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167D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37D7">
            <w:pPr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lang w:bidi="en-US"/>
              </w:rPr>
              <w:t>现场交流</w:t>
            </w:r>
          </w:p>
        </w:tc>
        <w:tc>
          <w:tcPr>
            <w:tcW w:w="4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F485">
            <w:pPr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观点正确，切中要点，条理清晰，重点突出，表达流畅。</w:t>
            </w:r>
          </w:p>
        </w:tc>
      </w:tr>
    </w:tbl>
    <w:p w14:paraId="1FE23D85">
      <w:pPr>
        <w:pStyle w:val="2"/>
        <w:ind w:firstLine="48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476EAD"/>
    <w:rsid w:val="00476EAD"/>
    <w:rsid w:val="00985872"/>
    <w:rsid w:val="391A72D1"/>
    <w:rsid w:val="507E0247"/>
    <w:rsid w:val="7020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1846</Words>
  <Characters>1849</Characters>
  <Lines>13</Lines>
  <Paragraphs>3</Paragraphs>
  <TotalTime>5</TotalTime>
  <ScaleCrop>false</ScaleCrop>
  <LinksUpToDate>false</LinksUpToDate>
  <CharactersWithSpaces>1849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2022-11-28T07:29:00Z</dcterms:created>
  <dc:creator>Administrator</dc:creator>
  <cp:lastModifiedBy>风之刃</cp:lastModifiedBy>
  <dcterms:modified xsi:type="dcterms:W3CDTF">2024-10-14T02:44:16Z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19B1DFE32EB34841AA31236CA0379230</vt:lpwstr>
  </property>
</Properties>
</file>