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hint="eastAsia" w:ascii="宋体" w:hAnsi="宋体"/>
          <w:b/>
          <w:color w:val="FF0000"/>
          <w:sz w:val="84"/>
          <w:szCs w:val="84"/>
        </w:rPr>
        <w:t>科 学 研 究 院</w:t>
      </w:r>
    </w:p>
    <w:p>
      <w:pPr>
        <w:adjustRightInd w:val="0"/>
        <w:snapToGrid w:val="0"/>
        <w:spacing w:before="312" w:beforeLines="100" w:after="312" w:afterLines="10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558165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3.95pt;height:0pt;width:432pt;z-index:251660288;mso-width-relative:page;mso-height-relative:page;" filled="f" stroked="t" coordsize="21600,21600" o:gfxdata="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xZU7nXAAAACQEAAA8AAAAAAAAAAQAgAAAAIgAAAGRycy9kb3ducmV2LnhtbFBL&#10;AQIUABQAAAAIAIdO4kDr25UY9wEAAOUDAAAOAAAAAAAAAAEAIAAAACYBAABkcnMvZTJvRG9jLnht&#10;bFBLBQYAAAAABgAGAFkBAACP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科学研究院院发[20</w:t>
      </w:r>
      <w:r>
        <w:rPr>
          <w:rFonts w:ascii="宋体" w:hAnsi="宋体"/>
          <w:sz w:val="32"/>
        </w:rPr>
        <w:t>22</w:t>
      </w:r>
      <w:r>
        <w:rPr>
          <w:rFonts w:hint="eastAsia" w:ascii="宋体" w:hAnsi="宋体"/>
          <w:sz w:val="32"/>
        </w:rPr>
        <w:t>]</w:t>
      </w:r>
      <w:r>
        <w:rPr>
          <w:rFonts w:hint="eastAsia" w:ascii="宋体" w:hAnsi="宋体"/>
          <w:color w:val="002060"/>
          <w:sz w:val="32"/>
        </w:rPr>
        <w:t xml:space="preserve"> </w:t>
      </w:r>
      <w:r>
        <w:rPr>
          <w:rFonts w:ascii="宋体" w:hAnsi="宋体"/>
          <w:sz w:val="32"/>
        </w:rPr>
        <w:t>00</w:t>
      </w:r>
      <w:r>
        <w:rPr>
          <w:rFonts w:hint="eastAsia" w:ascii="宋体" w:hAnsi="宋体"/>
          <w:sz w:val="32"/>
          <w:lang w:val="en-US" w:eastAsia="zh-CN"/>
        </w:rPr>
        <w:t>3</w:t>
      </w:r>
      <w:r>
        <w:rPr>
          <w:rFonts w:hint="eastAsia" w:ascii="宋体" w:hAnsi="宋体"/>
          <w:sz w:val="32"/>
        </w:rPr>
        <w:t>号</w:t>
      </w:r>
    </w:p>
    <w:p>
      <w:pPr>
        <w:spacing w:before="468" w:beforeLines="150" w:line="276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关于印发《中国地质大学（北京）科学研究院研究生国家奖学金及其它奖学金评审细则》的通知</w:t>
      </w:r>
    </w:p>
    <w:p>
      <w:pPr>
        <w:ind w:left="1265" w:leftChars="67" w:hanging="1124" w:hangingChars="35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科学研究院各实验室、各部门：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经科学研究院学位委员会20</w:t>
      </w:r>
      <w:r>
        <w:rPr>
          <w:rFonts w:ascii="仿宋" w:hAnsi="仿宋" w:eastAsia="仿宋" w:cs="Arial"/>
          <w:sz w:val="32"/>
          <w:szCs w:val="32"/>
        </w:rPr>
        <w:t>21</w:t>
      </w:r>
      <w:r>
        <w:rPr>
          <w:rFonts w:hint="eastAsia" w:ascii="仿宋" w:hAnsi="仿宋" w:eastAsia="仿宋" w:cs="Arial"/>
          <w:sz w:val="32"/>
          <w:szCs w:val="32"/>
        </w:rPr>
        <w:t>年</w:t>
      </w:r>
      <w:r>
        <w:rPr>
          <w:rFonts w:ascii="仿宋" w:hAnsi="仿宋" w:eastAsia="仿宋" w:cs="Arial"/>
          <w:sz w:val="32"/>
          <w:szCs w:val="32"/>
        </w:rPr>
        <w:t>12</w:t>
      </w:r>
      <w:r>
        <w:rPr>
          <w:rFonts w:hint="eastAsia" w:ascii="仿宋" w:hAnsi="仿宋" w:eastAsia="仿宋" w:cs="Arial"/>
          <w:sz w:val="32"/>
          <w:szCs w:val="32"/>
        </w:rPr>
        <w:t>月1</w:t>
      </w:r>
      <w:r>
        <w:rPr>
          <w:rFonts w:ascii="仿宋" w:hAnsi="仿宋" w:eastAsia="仿宋" w:cs="Arial"/>
          <w:sz w:val="32"/>
          <w:szCs w:val="32"/>
        </w:rPr>
        <w:t>3</w:t>
      </w:r>
      <w:r>
        <w:rPr>
          <w:rFonts w:hint="eastAsia" w:ascii="仿宋" w:hAnsi="仿宋" w:eastAsia="仿宋" w:cs="Arial"/>
          <w:sz w:val="32"/>
          <w:szCs w:val="32"/>
        </w:rPr>
        <w:t>日讨论、院党政联席会20</w:t>
      </w:r>
      <w:r>
        <w:rPr>
          <w:rFonts w:ascii="仿宋" w:hAnsi="仿宋" w:eastAsia="仿宋" w:cs="Arial"/>
          <w:sz w:val="32"/>
          <w:szCs w:val="32"/>
        </w:rPr>
        <w:t>22</w:t>
      </w:r>
      <w:r>
        <w:rPr>
          <w:rFonts w:hint="eastAsia" w:ascii="仿宋" w:hAnsi="仿宋" w:eastAsia="仿宋" w:cs="Arial"/>
          <w:sz w:val="32"/>
          <w:szCs w:val="32"/>
        </w:rPr>
        <w:t>年</w:t>
      </w:r>
      <w:r>
        <w:rPr>
          <w:rFonts w:ascii="仿宋" w:hAnsi="仿宋" w:eastAsia="仿宋" w:cs="Arial"/>
          <w:sz w:val="32"/>
          <w:szCs w:val="32"/>
        </w:rPr>
        <w:t>2</w:t>
      </w:r>
      <w:r>
        <w:rPr>
          <w:rFonts w:hint="eastAsia" w:ascii="仿宋" w:hAnsi="仿宋" w:eastAsia="仿宋" w:cs="Arial"/>
          <w:sz w:val="32"/>
          <w:szCs w:val="32"/>
        </w:rPr>
        <w:t>月</w:t>
      </w:r>
      <w:r>
        <w:rPr>
          <w:rFonts w:ascii="仿宋" w:hAnsi="仿宋" w:eastAsia="仿宋" w:cs="Arial"/>
          <w:sz w:val="32"/>
          <w:szCs w:val="32"/>
        </w:rPr>
        <w:t>28</w:t>
      </w:r>
      <w:r>
        <w:rPr>
          <w:rFonts w:hint="eastAsia" w:ascii="仿宋" w:hAnsi="仿宋" w:eastAsia="仿宋" w:cs="Arial"/>
          <w:sz w:val="32"/>
          <w:szCs w:val="32"/>
        </w:rPr>
        <w:t>日审议通过，现将《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中国地质大学（北京）</w:t>
      </w:r>
      <w:r>
        <w:rPr>
          <w:rFonts w:hint="eastAsia" w:ascii="仿宋" w:hAnsi="仿宋" w:eastAsia="仿宋" w:cs="Arial"/>
          <w:sz w:val="32"/>
          <w:szCs w:val="32"/>
        </w:rPr>
        <w:t>科学研究院研究生国家奖学金及其它奖学金评审细则》印发给你们，请认真学习并遵照执行。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附件：《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中国地质大学（北京）</w:t>
      </w:r>
      <w:r>
        <w:rPr>
          <w:rFonts w:hint="eastAsia" w:ascii="仿宋" w:hAnsi="仿宋" w:eastAsia="仿宋" w:cs="Arial"/>
          <w:sz w:val="32"/>
          <w:szCs w:val="32"/>
        </w:rPr>
        <w:t>科学研究院研究生国家奖学金及其它奖学金评审细则》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</w:p>
    <w:p>
      <w:pPr>
        <w:spacing w:line="360" w:lineRule="auto"/>
        <w:ind w:firstLine="6080" w:firstLineChars="19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科学研究院</w:t>
      </w:r>
    </w:p>
    <w:p>
      <w:pPr>
        <w:spacing w:line="360" w:lineRule="auto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                           20</w:t>
      </w:r>
      <w:r>
        <w:rPr>
          <w:rFonts w:ascii="仿宋" w:hAnsi="仿宋" w:eastAsia="仿宋" w:cs="Arial"/>
          <w:sz w:val="32"/>
          <w:szCs w:val="32"/>
        </w:rPr>
        <w:t>22</w:t>
      </w:r>
      <w:r>
        <w:rPr>
          <w:rFonts w:hint="eastAsia" w:ascii="仿宋" w:hAnsi="仿宋" w:eastAsia="仿宋" w:cs="Arial"/>
          <w:sz w:val="32"/>
          <w:szCs w:val="32"/>
        </w:rPr>
        <w:t>年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sz w:val="32"/>
          <w:szCs w:val="32"/>
        </w:rPr>
        <w:t>月</w:t>
      </w:r>
      <w:r>
        <w:rPr>
          <w:rFonts w:ascii="仿宋" w:hAnsi="仿宋" w:eastAsia="仿宋" w:cs="Arial"/>
          <w:sz w:val="32"/>
          <w:szCs w:val="32"/>
        </w:rPr>
        <w:t>2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spacing w:line="360" w:lineRule="auto"/>
        <w:rPr>
          <w:rFonts w:ascii="黑体" w:eastAsia="黑体"/>
          <w:color w:val="000000"/>
        </w:rPr>
      </w:pPr>
    </w:p>
    <w:p>
      <w:pPr>
        <w:spacing w:line="360" w:lineRule="auto"/>
        <w:rPr>
          <w:rFonts w:ascii="黑体" w:eastAsia="黑体"/>
          <w:color w:val="000000"/>
        </w:rPr>
      </w:pPr>
    </w:p>
    <w:p>
      <w:pPr>
        <w:spacing w:line="360" w:lineRule="auto"/>
        <w:rPr>
          <w:rFonts w:ascii="黑体" w:eastAsia="黑体"/>
          <w:color w:val="000000"/>
        </w:rPr>
      </w:pPr>
    </w:p>
    <w:p>
      <w:pPr>
        <w:spacing w:line="360" w:lineRule="auto"/>
        <w:ind w:firstLine="210" w:firstLineChars="1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黑体" w:eastAsia="黑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334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1pt;height:0pt;width:420pt;z-index:251659264;mso-width-relative:page;mso-height-relative:page;" filled="f" stroked="t" coordsize="21600,21600" o:allowincell="f" o:gfxdata="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+53W3TAAAABAEAAA8AAAAAAAAAAQAgAAAAIgAAAGRycy9kb3ducmV2LnhtbFBLAQIUABQA&#10;AAAIAIdO4kB//gsa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344805</wp:posOffset>
                </wp:positionV>
                <wp:extent cx="5334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27.15pt;height:0pt;width:420pt;z-index:251660288;mso-width-relative:page;mso-height-relative:page;" filled="f" stroked="t" coordsize="21600,21600" o:allowincell="f" o:gfxdata="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799i1AAAAAYBAAAPAAAAAAAAAAEAIAAAACIAAABkcnMvZG93bnJldi54bWxQSwECFAAUAAAA&#10;CACHTuJATXexz/IBAADlAwAADgAAAAAAAAABACAAAAAj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>科学研究院                    20</w:t>
      </w:r>
      <w:r>
        <w:rPr>
          <w:rFonts w:ascii="仿宋" w:hAnsi="仿宋" w:eastAsia="仿宋"/>
          <w:color w:val="000000"/>
          <w:sz w:val="32"/>
          <w:szCs w:val="32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日印发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中国地质大学（北京）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科学研究院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研究生国家奖学金及其它奖学金评审细则</w:t>
      </w:r>
    </w:p>
    <w:p>
      <w:pPr>
        <w:jc w:val="center"/>
        <w:rPr>
          <w:sz w:val="32"/>
          <w:szCs w:val="30"/>
          <w:highlight w:val="none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为发挥国家奖学金及其它各类奖学金（以下简称奖学金）的激励作用，鼓励在校研究生勤奋学习、奋发向上、积极创新，进一步促进和巩固科学研究院的优良学风，提高培养质量，同时进一步规范我院研究生奖学金的评审工作，结合《中国地质大学（北京）研究生国家奖学金管理暂行办法》（中地大京发〔2020〕112号）、其它奖学金的评选办法和我院实际情况，特制定此评审细则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一、评审委员会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科学研究院成立研究生奖学金评审委员会，负责学院各类奖学金的组织、评审等工作。成员如下：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主  任：院长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6" w:leftChars="267" w:hanging="285" w:hangingChars="102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委  员：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副院长、研究生教学秘书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、教师代表、学生代表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办公室主任：学工组长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二、名额分配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按照学校学工处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下发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的硕士、博士名额进行分配。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三、评审指标体系</w:t>
      </w:r>
    </w:p>
    <w:p>
      <w:pPr>
        <w:tabs>
          <w:tab w:val="left" w:pos="0"/>
        </w:tabs>
        <w:spacing w:line="5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申报我院奖学金需满足相应奖学金评选的基本条件，在此基础按照以下办法进行评审。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（一）、硕士研究生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硕士研究生奖学金评比综合考虑学位课成绩、科技论文发表和学生日常表现情况，具体分数计算办法：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1、学位课成绩（除第一外语）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%）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注：学位课成绩为提交申报材料前所获得学位课成绩，未出成绩课程不参加计算。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2、科技论文发表情况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（80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%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，分值计算办法见科学研究院院发[20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] 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号文件中“科学研究院研究生学业奖学金科研成果分值标准”（见附件）。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注：科技论文及国家发明专利分数可累加。文章文章发表时间为攻读当前学位近一年时间（即自上一年度9月1日至当年8月31日）。SCI论文以Online时间为准，其他期刊论文以刊出时间为准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以第一作者且所属单位必须为中国地质大学（北京）。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3、学生日常表现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%）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，具体分值如下：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上一学年担任校研究生会部长（含）以上学生干部、研究生分会（副）主席、党支部书记计30分，院团委副书记计20分，班长、团支部书记计15分，担任其他学生干部（研究生分会部长、党支部委员等）计10分。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上一学年获得北京市级（含）以上文化科技类奖励计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分，获得校级文化科技类奖励计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分。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上一学年获得北京市级（含）以上三好学生、优秀学生干部、优秀团员、优秀共产党员称号计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分，获得校级三好学生、优秀学生干部、优秀团员、优秀共产党员称号计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分。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注：以上各单项内择高加分，项内分数不累加。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4、测评总分计算办法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测评总分=学位课成绩平均分×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% + 科技论文分数×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%+日常表现分数×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%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5、研究生科研论文经评审专家委员会审核后，根据测评总分依次排序，由评审专家委员会确定最终结果。</w:t>
      </w:r>
    </w:p>
    <w:p>
      <w:pPr>
        <w:jc w:val="left"/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highlight w:val="none"/>
        </w:rPr>
        <w:t>（二）、博士研究生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博士研究生学金评比主要依据科技论文发表情况，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同等条件下，参考成绩及日常表现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积分方式参照硕士研究生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，具体分数计算办法见科学研究院院发[20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] 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号文件中“科学研究院研究生学业奖学金科研成果分值标准”（见附件）。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注：科技论文及国家发明专利分数可累加。文章见刊时间为上一年度9月1日至当年8月31日，以第一作者且所属单位必须为中国地质大学（北京）。</w:t>
      </w:r>
    </w:p>
    <w:p>
      <w:pPr>
        <w:ind w:firstLine="57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研究生科研论文经评审专家委员会最终确认后，根据测评总分依次排序，由评审专家委员会确定结果。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四、评审方式及程序</w:t>
      </w:r>
    </w:p>
    <w:p>
      <w:pPr>
        <w:widowControl/>
        <w:shd w:val="clear" w:color="auto" w:fill="FFFFFF"/>
        <w:spacing w:line="270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所有符合条件的研究生均可申请，申请人须如实填写各类奖学金申请审批表和科研成果统计表，提交学习成绩单，并附所有成果及证明材料的复印件，向学院评审委员会提出申请。学院全程公开申请人的申请材料，如申请材料有造假行为，一经查证，取消参评资格；已经获得奖励的，撤销荣誉，收回奖金。</w:t>
      </w:r>
    </w:p>
    <w:p>
      <w:pPr>
        <w:widowControl/>
        <w:shd w:val="clear" w:color="auto" w:fill="FFFFFF"/>
        <w:spacing w:line="270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2、学院评审委员会对申请材料进行审查，以集中评审的方式，按照评审实施细则择优选出拟获奖研究生。</w:t>
      </w:r>
    </w:p>
    <w:p>
      <w:pPr>
        <w:widowControl/>
        <w:shd w:val="clear" w:color="auto" w:fill="FFFFFF"/>
        <w:spacing w:line="270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3、学院将拟获奖研究生名单在院内公示5个工作日，公示无异议后，报学生工作处。</w:t>
      </w:r>
    </w:p>
    <w:p>
      <w:pPr>
        <w:widowControl/>
        <w:shd w:val="clear" w:color="auto" w:fill="FFFFFF"/>
        <w:spacing w:line="270" w:lineRule="atLeast"/>
        <w:ind w:firstLine="56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4、对研究生奖学金评审结果有异议者，可在学院公示阶段向学院评审委员会提出，评审委员会应及时研究并予以答复。如对答复仍存异议，可在学校公示阶段向学校奖学金评审领导小组提请裁决。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>
      <w:pPr>
        <w:jc w:val="left"/>
        <w:rPr>
          <w:rFonts w:ascii="仿宋" w:hAnsi="仿宋" w:eastAsia="仿宋"/>
          <w:b/>
          <w:sz w:val="28"/>
          <w:szCs w:val="44"/>
        </w:rPr>
      </w:pPr>
      <w:bookmarkStart w:id="0" w:name="_GoBack"/>
      <w:bookmarkEnd w:id="0"/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spacing w:line="550" w:lineRule="exact"/>
        <w:jc w:val="left"/>
        <w:rPr>
          <w:rFonts w:hAnsi="仿宋"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附：</w:t>
      </w:r>
      <w:r>
        <w:rPr>
          <w:rFonts w:hint="eastAsia" w:hAnsi="仿宋" w:eastAsia="仿宋"/>
          <w:sz w:val="28"/>
          <w:szCs w:val="28"/>
        </w:rPr>
        <w:t xml:space="preserve"> 科学研究院研究生科研成果分值标准</w:t>
      </w: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ind w:firstLine="141" w:firstLineChars="50"/>
        <w:jc w:val="left"/>
        <w:rPr>
          <w:rFonts w:ascii="仿宋" w:hAnsi="仿宋" w:eastAsia="仿宋"/>
          <w:b/>
          <w:sz w:val="28"/>
          <w:szCs w:val="44"/>
        </w:rPr>
      </w:pPr>
    </w:p>
    <w:p>
      <w:pPr>
        <w:jc w:val="left"/>
        <w:rPr>
          <w:rFonts w:hint="eastAsia" w:ascii="仿宋" w:hAnsi="仿宋" w:eastAsia="仿宋" w:cs="Times New Roman"/>
          <w:b/>
          <w:sz w:val="36"/>
          <w:szCs w:val="36"/>
        </w:rPr>
      </w:pPr>
    </w:p>
    <w:p>
      <w:pPr>
        <w:ind w:firstLine="181" w:firstLineChars="50"/>
        <w:jc w:val="center"/>
        <w:rPr>
          <w:rFonts w:ascii="宋体" w:hAnsi="宋体"/>
          <w:sz w:val="24"/>
          <w:szCs w:val="28"/>
        </w:rPr>
      </w:pPr>
      <w:r>
        <w:rPr>
          <w:rFonts w:hint="eastAsia" w:ascii="仿宋" w:hAnsi="仿宋" w:eastAsia="仿宋"/>
          <w:b/>
          <w:sz w:val="36"/>
          <w:szCs w:val="44"/>
        </w:rPr>
        <w:t>科学研究院研究生学业奖学金科研成果分值标准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2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成果类型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rFonts w:hint="eastAsia"/>
                <w:sz w:val="22"/>
              </w:rPr>
              <w:t>、S</w:t>
            </w:r>
            <w:r>
              <w:rPr>
                <w:sz w:val="22"/>
              </w:rPr>
              <w:t>cience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其他A区S</w:t>
            </w:r>
            <w:r>
              <w:rPr>
                <w:sz w:val="22"/>
              </w:rPr>
              <w:t>CI</w:t>
            </w:r>
            <w:r>
              <w:rPr>
                <w:rFonts w:hint="eastAsia"/>
                <w:sz w:val="22"/>
              </w:rPr>
              <w:t>论文、N</w:t>
            </w:r>
            <w:r>
              <w:rPr>
                <w:sz w:val="22"/>
              </w:rPr>
              <w:t>S</w:t>
            </w:r>
            <w:r>
              <w:rPr>
                <w:rFonts w:hint="eastAsia"/>
                <w:sz w:val="22"/>
              </w:rPr>
              <w:t>子刊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B区</w:t>
            </w:r>
            <w:r>
              <w:rPr>
                <w:sz w:val="22"/>
              </w:rPr>
              <w:t>SCI</w:t>
            </w:r>
            <w:r>
              <w:rPr>
                <w:rFonts w:hint="eastAsia"/>
                <w:sz w:val="22"/>
              </w:rPr>
              <w:t>论文 / 国际授权发明专利 /</w:t>
            </w:r>
            <w:r>
              <w:rPr>
                <w:sz w:val="22"/>
              </w:rPr>
              <w:t xml:space="preserve"> NI</w:t>
            </w:r>
            <w:r>
              <w:rPr>
                <w:rFonts w:hint="eastAsia"/>
                <w:sz w:val="22"/>
              </w:rPr>
              <w:t>指数期刊论文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C区</w:t>
            </w:r>
            <w:r>
              <w:rPr>
                <w:sz w:val="22"/>
              </w:rPr>
              <w:t>SCI</w:t>
            </w:r>
            <w:r>
              <w:rPr>
                <w:rFonts w:hint="eastAsia"/>
                <w:sz w:val="22"/>
              </w:rPr>
              <w:t xml:space="preserve">论文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D区</w:t>
            </w:r>
            <w:r>
              <w:rPr>
                <w:sz w:val="22"/>
              </w:rPr>
              <w:t>SCI/SSCI</w:t>
            </w:r>
            <w:r>
              <w:rPr>
                <w:rFonts w:hint="eastAsia"/>
                <w:sz w:val="22"/>
              </w:rPr>
              <w:t>论文 /国内授权发明专利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6521" w:type="dxa"/>
            <w:vAlign w:val="center"/>
          </w:tcPr>
          <w:p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E区</w:t>
            </w:r>
            <w:r>
              <w:rPr>
                <w:sz w:val="22"/>
              </w:rPr>
              <w:t>SCI/SSCI</w:t>
            </w:r>
            <w:r>
              <w:rPr>
                <w:rFonts w:hint="eastAsia"/>
                <w:sz w:val="22"/>
              </w:rPr>
              <w:t>论文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中文SCI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EI检索期刊论文 / 国内授权实用新型专利 /软件著作权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中文核心期刊论文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国际会议英文口头报告（在国外召开）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国际会议英文口头报告（在国内召开）/普通期刊论文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521" w:type="dxa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国内会议口头报告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说明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1、科技成果分数可累加。文章发表时间为攻读当前学位近一年时间（即自上一年度9月1日至当年8月31日）。SCI论文以Online时间为准，其他期刊论文以刊出时间为准。</w:t>
            </w:r>
          </w:p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2、获奖类均指证书持有者，成果署名单位有中国地质大学（北京）；</w:t>
            </w:r>
          </w:p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3、论文及专利类要求本人为第一作者，且第一署名单位为中国地质大学（北京）。</w:t>
            </w:r>
          </w:p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4、SCI论文按照《中国地质大学（北京）自然科学高水平学术成果标志性期刊目录》分区。</w:t>
            </w:r>
          </w:p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5、国内会议口头报告次数不累加，最多计算2分。</w:t>
            </w:r>
          </w:p>
        </w:tc>
      </w:tr>
    </w:tbl>
    <w:p>
      <w:pPr>
        <w:ind w:right="150"/>
        <w:jc w:val="lef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390842C-409C-40CC-8DF9-FF5DEEC96F0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DA74CC-BB8C-4412-AAC4-5E93C8DD0D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D3554E14-7D37-46A8-9F4E-463C7AC7507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569AFDD-17DD-4876-BBF3-B31E924293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C47773A-0E3E-4E20-8A1F-6180E63A47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ODdiNTZmYThhZDNkNzg3NDM4N2I4ZWRhZTFjZDYifQ=="/>
  </w:docVars>
  <w:rsids>
    <w:rsidRoot w:val="0005145F"/>
    <w:rsid w:val="0005145F"/>
    <w:rsid w:val="00051881"/>
    <w:rsid w:val="00067CA5"/>
    <w:rsid w:val="000A2670"/>
    <w:rsid w:val="000B3D2B"/>
    <w:rsid w:val="0010138C"/>
    <w:rsid w:val="001E1E6A"/>
    <w:rsid w:val="002358E9"/>
    <w:rsid w:val="002B3BF1"/>
    <w:rsid w:val="002E3764"/>
    <w:rsid w:val="00301909"/>
    <w:rsid w:val="003146D8"/>
    <w:rsid w:val="003D0744"/>
    <w:rsid w:val="003E0B51"/>
    <w:rsid w:val="003E63CE"/>
    <w:rsid w:val="003F6724"/>
    <w:rsid w:val="00421261"/>
    <w:rsid w:val="00471D0D"/>
    <w:rsid w:val="004E6B55"/>
    <w:rsid w:val="00554325"/>
    <w:rsid w:val="00576720"/>
    <w:rsid w:val="00590234"/>
    <w:rsid w:val="00641A91"/>
    <w:rsid w:val="0067521E"/>
    <w:rsid w:val="006B3C88"/>
    <w:rsid w:val="006D56D0"/>
    <w:rsid w:val="00734C36"/>
    <w:rsid w:val="00756888"/>
    <w:rsid w:val="007758BF"/>
    <w:rsid w:val="007965B4"/>
    <w:rsid w:val="007E0A7A"/>
    <w:rsid w:val="00895BCE"/>
    <w:rsid w:val="008E5277"/>
    <w:rsid w:val="00913D50"/>
    <w:rsid w:val="00944948"/>
    <w:rsid w:val="009C55DB"/>
    <w:rsid w:val="00A50BB1"/>
    <w:rsid w:val="00A52AD6"/>
    <w:rsid w:val="00B11D5A"/>
    <w:rsid w:val="00B15A95"/>
    <w:rsid w:val="00BD2E4F"/>
    <w:rsid w:val="00C0134D"/>
    <w:rsid w:val="00C22BD8"/>
    <w:rsid w:val="00C47986"/>
    <w:rsid w:val="00C53576"/>
    <w:rsid w:val="00CF353D"/>
    <w:rsid w:val="00D033B9"/>
    <w:rsid w:val="00D7740F"/>
    <w:rsid w:val="00D876CC"/>
    <w:rsid w:val="00D9371A"/>
    <w:rsid w:val="00DA4A16"/>
    <w:rsid w:val="00E2711D"/>
    <w:rsid w:val="00E27C20"/>
    <w:rsid w:val="00F07DB5"/>
    <w:rsid w:val="00F37351"/>
    <w:rsid w:val="00F86BB8"/>
    <w:rsid w:val="00FC10D4"/>
    <w:rsid w:val="00FE40BE"/>
    <w:rsid w:val="03AF1065"/>
    <w:rsid w:val="08392E21"/>
    <w:rsid w:val="08830E95"/>
    <w:rsid w:val="09BC510E"/>
    <w:rsid w:val="0EC07A7C"/>
    <w:rsid w:val="13E3724B"/>
    <w:rsid w:val="1BF762F6"/>
    <w:rsid w:val="1DE45FA0"/>
    <w:rsid w:val="1E3B5726"/>
    <w:rsid w:val="216E0691"/>
    <w:rsid w:val="22332620"/>
    <w:rsid w:val="22FD51DD"/>
    <w:rsid w:val="232C7CBF"/>
    <w:rsid w:val="24EE2930"/>
    <w:rsid w:val="285C0DA1"/>
    <w:rsid w:val="2D097D3F"/>
    <w:rsid w:val="2F510DBE"/>
    <w:rsid w:val="320637C1"/>
    <w:rsid w:val="3A8F30EE"/>
    <w:rsid w:val="4AC47246"/>
    <w:rsid w:val="4F1832E1"/>
    <w:rsid w:val="50743E4F"/>
    <w:rsid w:val="562F3339"/>
    <w:rsid w:val="58237882"/>
    <w:rsid w:val="59D96E1C"/>
    <w:rsid w:val="5FC44C79"/>
    <w:rsid w:val="605F5CC2"/>
    <w:rsid w:val="634F3434"/>
    <w:rsid w:val="6EB25279"/>
    <w:rsid w:val="7D7F4443"/>
    <w:rsid w:val="7FC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tabs>
        <w:tab w:val="left" w:pos="0"/>
      </w:tabs>
      <w:adjustRightInd w:val="0"/>
      <w:snapToGrid w:val="0"/>
      <w:spacing w:line="640" w:lineRule="atLeast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2187</Words>
  <Characters>2331</Characters>
  <Lines>14</Lines>
  <Paragraphs>4</Paragraphs>
  <TotalTime>2</TotalTime>
  <ScaleCrop>false</ScaleCrop>
  <LinksUpToDate>false</LinksUpToDate>
  <CharactersWithSpaces>2410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2018-09-14T09:05:00Z</dcterms:created>
  <dc:creator>lenovo</dc:creator>
  <cp:lastModifiedBy>WPS_1506087161</cp:lastModifiedBy>
  <cp:lastPrinted>2021-09-14T08:32:00Z</cp:lastPrinted>
  <dcterms:modified xsi:type="dcterms:W3CDTF">2022-06-02T07:47:08Z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5D44479264224101B44AD8D6BBD2F8E2</vt:lpwstr>
  </property>
</Properties>
</file>