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CCD" w:rsidRDefault="00270C1D">
      <w:pPr>
        <w:pStyle w:val="1"/>
        <w:shd w:val="clear" w:color="auto" w:fill="FFFFFF"/>
        <w:spacing w:before="0" w:beforeAutospacing="0" w:after="0" w:afterAutospacing="0"/>
        <w:jc w:val="center"/>
        <w:rPr>
          <w:rFonts w:ascii="仿宋" w:eastAsia="仿宋" w:hAnsi="仿宋"/>
          <w:color w:val="333333"/>
          <w:sz w:val="36"/>
          <w:szCs w:val="36"/>
        </w:rPr>
      </w:pPr>
      <w:r>
        <w:rPr>
          <w:rFonts w:ascii="仿宋" w:eastAsia="仿宋" w:hAnsi="仿宋" w:hint="eastAsia"/>
          <w:color w:val="333333"/>
          <w:sz w:val="36"/>
          <w:szCs w:val="36"/>
        </w:rPr>
        <w:t>中国地质大学（北京）经济管理学院</w:t>
      </w:r>
    </w:p>
    <w:p w:rsidR="00784DA8" w:rsidRDefault="00270C1D">
      <w:pPr>
        <w:pStyle w:val="1"/>
        <w:shd w:val="clear" w:color="auto" w:fill="FFFFFF"/>
        <w:spacing w:before="0" w:beforeAutospacing="0" w:after="0" w:afterAutospacing="0"/>
        <w:jc w:val="center"/>
        <w:rPr>
          <w:rFonts w:ascii="仿宋" w:eastAsia="仿宋" w:hAnsi="仿宋"/>
          <w:color w:val="333333"/>
          <w:sz w:val="36"/>
          <w:szCs w:val="36"/>
        </w:rPr>
      </w:pPr>
      <w:r>
        <w:rPr>
          <w:rFonts w:ascii="仿宋" w:eastAsia="仿宋" w:hAnsi="仿宋" w:hint="eastAsia"/>
          <w:color w:val="333333"/>
          <w:sz w:val="36"/>
          <w:szCs w:val="36"/>
        </w:rPr>
        <w:t>2023年</w:t>
      </w:r>
      <w:r w:rsidR="004C0EAD">
        <w:rPr>
          <w:rFonts w:ascii="仿宋" w:eastAsia="仿宋" w:hAnsi="仿宋" w:hint="eastAsia"/>
          <w:color w:val="333333"/>
          <w:sz w:val="36"/>
          <w:szCs w:val="36"/>
        </w:rPr>
        <w:t>非全日制</w:t>
      </w:r>
      <w:r w:rsidR="00784DA8">
        <w:rPr>
          <w:rFonts w:ascii="仿宋" w:eastAsia="仿宋" w:hAnsi="仿宋" w:hint="eastAsia"/>
          <w:color w:val="333333"/>
          <w:sz w:val="36"/>
          <w:szCs w:val="36"/>
        </w:rPr>
        <w:t>专业学位</w:t>
      </w:r>
      <w:r>
        <w:rPr>
          <w:rFonts w:ascii="仿宋" w:eastAsia="仿宋" w:hAnsi="仿宋" w:hint="eastAsia"/>
          <w:color w:val="333333"/>
          <w:sz w:val="36"/>
          <w:szCs w:val="36"/>
        </w:rPr>
        <w:t>硕士研究生接收调剂公告</w:t>
      </w:r>
    </w:p>
    <w:p w:rsidR="007E5CCD" w:rsidRDefault="004C0EAD">
      <w:pPr>
        <w:pStyle w:val="1"/>
        <w:shd w:val="clear" w:color="auto" w:fill="FFFFFF"/>
        <w:spacing w:before="0" w:beforeAutospacing="0" w:after="0" w:afterAutospacing="0"/>
        <w:jc w:val="center"/>
        <w:rPr>
          <w:rFonts w:ascii="仿宋" w:eastAsia="仿宋" w:hAnsi="仿宋"/>
          <w:color w:val="333333"/>
          <w:sz w:val="36"/>
          <w:szCs w:val="36"/>
        </w:rPr>
      </w:pPr>
      <w:r>
        <w:rPr>
          <w:rFonts w:ascii="仿宋" w:eastAsia="仿宋" w:hAnsi="仿宋" w:hint="eastAsia"/>
          <w:color w:val="333333"/>
          <w:sz w:val="36"/>
          <w:szCs w:val="36"/>
        </w:rPr>
        <w:t>（第二批）</w:t>
      </w:r>
    </w:p>
    <w:p w:rsidR="007E5CCD" w:rsidRDefault="007E5CCD">
      <w:pPr>
        <w:widowControl/>
        <w:shd w:val="clear" w:color="auto" w:fill="FFFFFF"/>
        <w:spacing w:line="360" w:lineRule="atLeas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</w:p>
    <w:p w:rsidR="007E5CCD" w:rsidRDefault="00270C1D">
      <w:pPr>
        <w:widowControl/>
        <w:shd w:val="clear" w:color="auto" w:fill="FFFFFF"/>
        <w:spacing w:line="360" w:lineRule="atLeas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根据教育部和北京市教育考试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院相关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文件要求，结合我院2023年硕士研究生招生计划和</w:t>
      </w:r>
      <w:r w:rsidR="00802EEA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招生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情况，现公布2023年</w:t>
      </w:r>
      <w:r w:rsidR="00E615E1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第二批非全日制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硕士研究生拟调剂信息，具体信息以我校各专业在“全国硕士研究生招生调剂服务系统”发布的调剂信息为准，欢迎有意向调剂我院的考生密切关注我校研究生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招生网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和</w:t>
      </w:r>
      <w:r w:rsidR="00A02076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经管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学院网站。</w:t>
      </w:r>
    </w:p>
    <w:p w:rsidR="007E5CCD" w:rsidRDefault="00270C1D">
      <w:pPr>
        <w:widowControl/>
        <w:shd w:val="clear" w:color="auto" w:fill="FFFFFF"/>
        <w:spacing w:line="360" w:lineRule="atLeas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一、拟接收调剂专业、指标和分数线</w:t>
      </w:r>
    </w:p>
    <w:tbl>
      <w:tblPr>
        <w:tblW w:w="9600" w:type="dxa"/>
        <w:tblInd w:w="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913"/>
        <w:gridCol w:w="1296"/>
        <w:gridCol w:w="1366"/>
        <w:gridCol w:w="1068"/>
        <w:gridCol w:w="1518"/>
        <w:gridCol w:w="1358"/>
        <w:gridCol w:w="919"/>
      </w:tblGrid>
      <w:tr w:rsidR="007E5CCD" w:rsidTr="006E1D43">
        <w:trPr>
          <w:trHeight w:val="450"/>
        </w:trPr>
        <w:tc>
          <w:tcPr>
            <w:tcW w:w="116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CD" w:rsidRDefault="00270C1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学习方式</w:t>
            </w:r>
          </w:p>
        </w:tc>
        <w:tc>
          <w:tcPr>
            <w:tcW w:w="91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CD" w:rsidRDefault="00270C1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类型</w:t>
            </w:r>
          </w:p>
        </w:tc>
        <w:tc>
          <w:tcPr>
            <w:tcW w:w="129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CD" w:rsidRDefault="00270C1D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接收调剂专业</w:t>
            </w:r>
          </w:p>
        </w:tc>
        <w:tc>
          <w:tcPr>
            <w:tcW w:w="136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CD" w:rsidRDefault="00270C1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接收调剂方向</w:t>
            </w:r>
          </w:p>
        </w:tc>
        <w:tc>
          <w:tcPr>
            <w:tcW w:w="106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CD" w:rsidRDefault="00270C1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拟接收调剂指标</w:t>
            </w:r>
          </w:p>
        </w:tc>
        <w:tc>
          <w:tcPr>
            <w:tcW w:w="379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CD" w:rsidRDefault="00270C1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调剂分数线</w:t>
            </w:r>
          </w:p>
        </w:tc>
      </w:tr>
      <w:tr w:rsidR="007E5CCD" w:rsidTr="006E1D43">
        <w:trPr>
          <w:trHeight w:val="643"/>
        </w:trPr>
        <w:tc>
          <w:tcPr>
            <w:tcW w:w="116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CD" w:rsidRDefault="007E5CCD">
            <w:pPr>
              <w:widowControl/>
              <w:spacing w:line="360" w:lineRule="atLeast"/>
            </w:pPr>
          </w:p>
        </w:tc>
        <w:tc>
          <w:tcPr>
            <w:tcW w:w="91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CD" w:rsidRDefault="007E5CCD">
            <w:pPr>
              <w:widowControl/>
              <w:spacing w:line="360" w:lineRule="atLeast"/>
            </w:pPr>
          </w:p>
        </w:tc>
        <w:tc>
          <w:tcPr>
            <w:tcW w:w="129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CD" w:rsidRDefault="007E5CCD">
            <w:pPr>
              <w:widowControl/>
              <w:spacing w:line="360" w:lineRule="atLeast"/>
            </w:pPr>
          </w:p>
        </w:tc>
        <w:tc>
          <w:tcPr>
            <w:tcW w:w="136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CD" w:rsidRDefault="007E5CCD">
            <w:pPr>
              <w:widowControl/>
              <w:spacing w:line="360" w:lineRule="atLeast"/>
            </w:pPr>
          </w:p>
        </w:tc>
        <w:tc>
          <w:tcPr>
            <w:tcW w:w="106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CD" w:rsidRDefault="007E5CCD">
            <w:pPr>
              <w:widowControl/>
              <w:spacing w:line="360" w:lineRule="atLeast"/>
            </w:pPr>
          </w:p>
        </w:tc>
        <w:tc>
          <w:tcPr>
            <w:tcW w:w="1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CD" w:rsidRDefault="00270C1D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单科（满分=100分）</w:t>
            </w:r>
          </w:p>
        </w:tc>
        <w:tc>
          <w:tcPr>
            <w:tcW w:w="13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CD" w:rsidRDefault="00270C1D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单科（满分&gt;100分）</w:t>
            </w:r>
          </w:p>
        </w:tc>
        <w:tc>
          <w:tcPr>
            <w:tcW w:w="9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CD" w:rsidRDefault="00270C1D">
            <w:pPr>
              <w:widowControl/>
              <w:spacing w:line="360" w:lineRule="atLeas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总分</w:t>
            </w:r>
          </w:p>
        </w:tc>
      </w:tr>
      <w:tr w:rsidR="006865DA" w:rsidTr="006E1D43">
        <w:tc>
          <w:tcPr>
            <w:tcW w:w="11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DA" w:rsidRDefault="006865DA" w:rsidP="00E00465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非全日制</w:t>
            </w:r>
            <w:r w:rsidR="006E1D4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（定向）</w:t>
            </w:r>
          </w:p>
        </w:tc>
        <w:tc>
          <w:tcPr>
            <w:tcW w:w="9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DA" w:rsidRDefault="006865DA" w:rsidP="00E00465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专业型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DA" w:rsidRDefault="006865DA" w:rsidP="00E00465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6865DA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工商管理</w:t>
            </w:r>
            <w:r w:rsidR="00E0046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</w:t>
            </w:r>
            <w:r w:rsidR="0059001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MBA</w:t>
            </w:r>
            <w:r w:rsidR="00E0046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465" w:rsidRPr="00E00465" w:rsidRDefault="00E00465" w:rsidP="00E00465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E0046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企业战略与运用管理</w:t>
            </w:r>
          </w:p>
          <w:p w:rsidR="00E00465" w:rsidRPr="00E00465" w:rsidRDefault="00E00465" w:rsidP="00E00465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E0046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珠宝商务</w:t>
            </w:r>
          </w:p>
          <w:p w:rsidR="006865DA" w:rsidRPr="006865DA" w:rsidRDefault="00E00465" w:rsidP="00E00465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E0046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资源型企业经营管理</w:t>
            </w:r>
          </w:p>
        </w:tc>
        <w:tc>
          <w:tcPr>
            <w:tcW w:w="1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DA" w:rsidRPr="006865DA" w:rsidRDefault="006E1D43" w:rsidP="00E00465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约7个</w:t>
            </w:r>
          </w:p>
        </w:tc>
        <w:tc>
          <w:tcPr>
            <w:tcW w:w="1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DA" w:rsidRPr="006865DA" w:rsidRDefault="006865DA" w:rsidP="00E00465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6865DA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4</w:t>
            </w:r>
            <w:r w:rsidRPr="006865D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3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DA" w:rsidRPr="006865DA" w:rsidRDefault="006865DA" w:rsidP="00E00465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6865DA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8</w:t>
            </w:r>
            <w:r w:rsidRPr="006865D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9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DA" w:rsidRPr="006865DA" w:rsidRDefault="006865DA" w:rsidP="00E00465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6865DA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</w:t>
            </w:r>
            <w:r w:rsidRPr="006865D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67</w:t>
            </w:r>
          </w:p>
        </w:tc>
      </w:tr>
      <w:tr w:rsidR="006865DA" w:rsidTr="006E1D43">
        <w:tc>
          <w:tcPr>
            <w:tcW w:w="11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DA" w:rsidRDefault="006865DA" w:rsidP="00E00465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非全日制</w:t>
            </w:r>
            <w:r w:rsidR="006E1D4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（定向）</w:t>
            </w:r>
          </w:p>
        </w:tc>
        <w:tc>
          <w:tcPr>
            <w:tcW w:w="9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DA" w:rsidRDefault="006865DA" w:rsidP="00E00465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专业型</w:t>
            </w:r>
          </w:p>
        </w:tc>
        <w:tc>
          <w:tcPr>
            <w:tcW w:w="1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DA" w:rsidRPr="006865DA" w:rsidRDefault="006865DA" w:rsidP="00590016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6865DA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金融硕士</w:t>
            </w:r>
            <w:r w:rsidR="00E0046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</w:t>
            </w:r>
            <w:r w:rsidR="0059001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MF</w:t>
            </w:r>
            <w:r w:rsidR="00E0046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DA" w:rsidRPr="006865DA" w:rsidRDefault="00E00465" w:rsidP="00E00465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绿色金融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公司金融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金融科技</w:t>
            </w:r>
          </w:p>
        </w:tc>
        <w:tc>
          <w:tcPr>
            <w:tcW w:w="1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DA" w:rsidRPr="006865DA" w:rsidRDefault="006E1D43" w:rsidP="00E00465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约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2个</w:t>
            </w:r>
          </w:p>
        </w:tc>
        <w:tc>
          <w:tcPr>
            <w:tcW w:w="1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DA" w:rsidRPr="006865DA" w:rsidRDefault="006865DA" w:rsidP="00E00465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6865D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13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DA" w:rsidRPr="006865DA" w:rsidRDefault="006865DA" w:rsidP="00E00465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6865D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9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DA" w:rsidRPr="006865DA" w:rsidRDefault="006865DA" w:rsidP="00E00465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6865D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346</w:t>
            </w:r>
          </w:p>
        </w:tc>
      </w:tr>
    </w:tbl>
    <w:p w:rsidR="00CF2127" w:rsidRPr="00CF2127" w:rsidRDefault="00CF2127" w:rsidP="00CF2127">
      <w:pPr>
        <w:widowControl/>
        <w:shd w:val="clear" w:color="auto" w:fill="FFFFFF"/>
        <w:spacing w:line="360" w:lineRule="atLeast"/>
        <w:ind w:firstLineChars="200" w:firstLine="560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FF0000"/>
          <w:kern w:val="0"/>
          <w:sz w:val="28"/>
          <w:szCs w:val="28"/>
          <w:highlight w:val="green"/>
          <w:shd w:val="clear" w:color="auto" w:fill="FFFFFF"/>
        </w:rPr>
        <w:t>最终录取人数将根据生源情况和复试情况等进行适当调整。</w:t>
      </w:r>
    </w:p>
    <w:p w:rsidR="007E5CCD" w:rsidRDefault="00270C1D">
      <w:pPr>
        <w:widowControl/>
        <w:shd w:val="clear" w:color="auto" w:fill="FFFFFF"/>
        <w:spacing w:line="360" w:lineRule="atLeas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二、调剂的条件和要求</w:t>
      </w:r>
    </w:p>
    <w:p w:rsidR="007E5CCD" w:rsidRDefault="00270C1D">
      <w:pPr>
        <w:widowControl/>
        <w:shd w:val="clear" w:color="auto" w:fill="FFFFFF"/>
        <w:spacing w:line="360" w:lineRule="atLeas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1.符合国家2023年A类地区研究生复试基本要求和国家调剂政策；</w:t>
      </w:r>
    </w:p>
    <w:p w:rsidR="007E5CCD" w:rsidRDefault="00270C1D">
      <w:pPr>
        <w:widowControl/>
        <w:shd w:val="clear" w:color="auto" w:fill="FFFFFF"/>
        <w:spacing w:line="360" w:lineRule="atLeas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2.初试成绩符合我院进入复试的分数要求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；</w:t>
      </w:r>
    </w:p>
    <w:p w:rsidR="007E5CCD" w:rsidRDefault="00270C1D">
      <w:pPr>
        <w:widowControl/>
        <w:shd w:val="clear" w:color="auto" w:fill="FFFFFF"/>
        <w:spacing w:line="360" w:lineRule="atLeas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3.调入专业与第一志愿报考专业相同或相近，且在同一学科门类范围内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；</w:t>
      </w:r>
      <w:bookmarkStart w:id="0" w:name="_GoBack"/>
      <w:bookmarkEnd w:id="0"/>
    </w:p>
    <w:p w:rsidR="007E5CCD" w:rsidRDefault="00270C1D">
      <w:pPr>
        <w:widowControl/>
        <w:shd w:val="clear" w:color="auto" w:fill="FFFFFF"/>
        <w:spacing w:line="360" w:lineRule="atLeas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lastRenderedPageBreak/>
        <w:t>4.初试科目与调入专业初试科目相同或相近，其中初试全国统一命题科目应与调入专业全国统一命题科目相同（考生初试统考科目涵盖调入专业所有统考科目的，视为相同）。</w:t>
      </w:r>
    </w:p>
    <w:p w:rsidR="007E5CCD" w:rsidRDefault="00270C1D">
      <w:pPr>
        <w:widowControl/>
        <w:shd w:val="clear" w:color="auto" w:fill="FFFFFF"/>
        <w:spacing w:line="360" w:lineRule="atLeas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三、调剂申请程序</w:t>
      </w:r>
    </w:p>
    <w:p w:rsidR="007E5CCD" w:rsidRDefault="00270C1D">
      <w:pPr>
        <w:widowControl/>
        <w:shd w:val="clear" w:color="auto" w:fill="FFFFFF"/>
        <w:spacing w:line="360" w:lineRule="atLeas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1.报名方式</w:t>
      </w:r>
    </w:p>
    <w:p w:rsidR="007E5CCD" w:rsidRDefault="00270C1D" w:rsidP="000F437C">
      <w:pPr>
        <w:widowControl/>
        <w:shd w:val="clear" w:color="auto" w:fill="FFFFFF"/>
        <w:spacing w:line="360" w:lineRule="atLeas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调剂报名必须通过“全国硕士研究生招生调剂服务系统”（网址http://yz.chsi.com.cn/yztj/）进行。</w:t>
      </w:r>
    </w:p>
    <w:p w:rsidR="007E5CCD" w:rsidRDefault="00270C1D">
      <w:pPr>
        <w:widowControl/>
        <w:shd w:val="clear" w:color="auto" w:fill="FFFFFF"/>
        <w:spacing w:line="360" w:lineRule="atLeas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2.报名时间</w:t>
      </w:r>
    </w:p>
    <w:p w:rsidR="007E5CCD" w:rsidRDefault="00270C1D" w:rsidP="00270C1D">
      <w:pPr>
        <w:widowControl/>
        <w:shd w:val="clear" w:color="auto" w:fill="FFFFFF"/>
        <w:spacing w:line="360" w:lineRule="atLeas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正式调剂开始时间为：</w:t>
      </w:r>
      <w:r w:rsidR="000F437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月</w:t>
      </w:r>
      <w:r w:rsidR="006E1D4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12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日</w:t>
      </w:r>
      <w:r w:rsidR="006E1D4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12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：00</w:t>
      </w:r>
      <w:r w:rsidR="000F437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:rsidR="007E5CCD" w:rsidRDefault="00270C1D" w:rsidP="00270C1D">
      <w:pPr>
        <w:widowControl/>
        <w:shd w:val="clear" w:color="auto" w:fill="FFFFFF"/>
        <w:spacing w:line="360" w:lineRule="atLeas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（系统开放时间不低于12个小时）</w:t>
      </w:r>
    </w:p>
    <w:p w:rsidR="007E5CCD" w:rsidRDefault="00270C1D">
      <w:pPr>
        <w:widowControl/>
        <w:shd w:val="clear" w:color="auto" w:fill="FFFFFF"/>
        <w:spacing w:line="360" w:lineRule="atLeas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四、复试</w:t>
      </w:r>
    </w:p>
    <w:p w:rsidR="007E5CCD" w:rsidRDefault="00270C1D">
      <w:pPr>
        <w:widowControl/>
        <w:shd w:val="clear" w:color="auto" w:fill="FFFFFF"/>
        <w:spacing w:line="360" w:lineRule="atLeas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符合我院调剂要求的考生请在规定时间内登录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研招网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调剂系统填报调剂志愿，经学院初审确定名单后，将通过调剂系统向考生发送复试通知，考生在系统中确认同意复试后按要求参加我院复试方可。复试名单在学院网上公示。</w:t>
      </w:r>
    </w:p>
    <w:p w:rsidR="008572E1" w:rsidRDefault="008572E1" w:rsidP="008572E1">
      <w:pPr>
        <w:widowControl/>
        <w:shd w:val="clear" w:color="auto" w:fill="FFFFFF"/>
        <w:spacing w:line="360" w:lineRule="atLeas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1、复试时间：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 </w:t>
      </w:r>
    </w:p>
    <w:p w:rsidR="008572E1" w:rsidRDefault="008572E1" w:rsidP="008572E1">
      <w:pPr>
        <w:pStyle w:val="a8"/>
        <w:spacing w:line="570" w:lineRule="exact"/>
        <w:ind w:firstLineChars="0" w:firstLine="0"/>
        <w:rPr>
          <w:b/>
          <w:color w:val="000000"/>
          <w:szCs w:val="28"/>
        </w:rPr>
      </w:pPr>
      <w:r>
        <w:rPr>
          <w:rFonts w:hint="eastAsia"/>
          <w:b/>
          <w:color w:val="000000"/>
          <w:szCs w:val="28"/>
        </w:rPr>
        <w:t>（1）专业</w:t>
      </w:r>
      <w:r w:rsidRPr="00F56FD0">
        <w:rPr>
          <w:b/>
          <w:color w:val="000000"/>
          <w:szCs w:val="28"/>
        </w:rPr>
        <w:t>学位类硕士研究生复试报到时间及方式</w:t>
      </w:r>
    </w:p>
    <w:tbl>
      <w:tblPr>
        <w:tblStyle w:val="a9"/>
        <w:tblW w:w="9180" w:type="dxa"/>
        <w:tblLayout w:type="fixed"/>
        <w:tblLook w:val="04A0" w:firstRow="1" w:lastRow="0" w:firstColumn="1" w:lastColumn="0" w:noHBand="0" w:noVBand="1"/>
      </w:tblPr>
      <w:tblGrid>
        <w:gridCol w:w="2122"/>
        <w:gridCol w:w="3656"/>
        <w:gridCol w:w="1134"/>
        <w:gridCol w:w="2268"/>
      </w:tblGrid>
      <w:tr w:rsidR="008572E1" w:rsidTr="00ED0410">
        <w:tc>
          <w:tcPr>
            <w:tcW w:w="2122" w:type="dxa"/>
          </w:tcPr>
          <w:p w:rsidR="008572E1" w:rsidRPr="00ED0410" w:rsidRDefault="008572E1" w:rsidP="00ED0410">
            <w:pPr>
              <w:rPr>
                <w:rFonts w:ascii="宋体" w:hAnsi="宋体" w:cs="宋体"/>
                <w:kern w:val="0"/>
                <w:szCs w:val="21"/>
              </w:rPr>
            </w:pPr>
            <w:r w:rsidRPr="00ED0410">
              <w:rPr>
                <w:rFonts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3656" w:type="dxa"/>
          </w:tcPr>
          <w:p w:rsidR="008572E1" w:rsidRPr="00ED0410" w:rsidRDefault="008572E1" w:rsidP="00ED0410">
            <w:pPr>
              <w:rPr>
                <w:rFonts w:ascii="宋体" w:hAnsi="宋体" w:cs="宋体"/>
                <w:kern w:val="0"/>
                <w:szCs w:val="21"/>
              </w:rPr>
            </w:pPr>
            <w:r w:rsidRPr="00ED0410">
              <w:rPr>
                <w:rFonts w:ascii="宋体" w:hAnsi="宋体" w:cs="宋体"/>
                <w:kern w:val="0"/>
                <w:szCs w:val="21"/>
              </w:rPr>
              <w:t>报到时间</w:t>
            </w:r>
          </w:p>
        </w:tc>
        <w:tc>
          <w:tcPr>
            <w:tcW w:w="1134" w:type="dxa"/>
          </w:tcPr>
          <w:p w:rsidR="008572E1" w:rsidRPr="00ED0410" w:rsidRDefault="008572E1" w:rsidP="00ED0410">
            <w:pPr>
              <w:rPr>
                <w:rFonts w:ascii="宋体" w:hAnsi="宋体" w:cs="宋体"/>
                <w:kern w:val="0"/>
                <w:szCs w:val="21"/>
              </w:rPr>
            </w:pPr>
            <w:r w:rsidRPr="00ED0410">
              <w:rPr>
                <w:rFonts w:ascii="宋体" w:hAnsi="宋体" w:cs="宋体"/>
                <w:kern w:val="0"/>
                <w:szCs w:val="21"/>
              </w:rPr>
              <w:t>报到方式</w:t>
            </w:r>
          </w:p>
        </w:tc>
        <w:tc>
          <w:tcPr>
            <w:tcW w:w="2268" w:type="dxa"/>
          </w:tcPr>
          <w:p w:rsidR="008572E1" w:rsidRPr="00ED0410" w:rsidRDefault="008572E1" w:rsidP="00ED0410">
            <w:pPr>
              <w:rPr>
                <w:rFonts w:ascii="宋体" w:hAnsi="宋体" w:cs="宋体"/>
                <w:kern w:val="0"/>
                <w:szCs w:val="21"/>
              </w:rPr>
            </w:pPr>
            <w:r w:rsidRPr="00ED0410">
              <w:rPr>
                <w:rFonts w:ascii="宋体" w:hAnsi="宋体" w:cs="宋体"/>
                <w:kern w:val="0"/>
                <w:szCs w:val="21"/>
              </w:rPr>
              <w:t>复试秘书及钉钉号</w:t>
            </w:r>
          </w:p>
        </w:tc>
      </w:tr>
      <w:tr w:rsidR="008572E1" w:rsidTr="00ED0410">
        <w:tc>
          <w:tcPr>
            <w:tcW w:w="2122" w:type="dxa"/>
            <w:vAlign w:val="center"/>
          </w:tcPr>
          <w:p w:rsidR="008572E1" w:rsidRPr="00ED0410" w:rsidRDefault="008572E1" w:rsidP="00ED0410">
            <w:pPr>
              <w:rPr>
                <w:rFonts w:ascii="宋体" w:hAnsi="宋体" w:cs="宋体"/>
                <w:kern w:val="0"/>
                <w:szCs w:val="21"/>
              </w:rPr>
            </w:pPr>
            <w:r w:rsidRPr="00ED0410">
              <w:rPr>
                <w:rFonts w:ascii="宋体" w:hAnsi="宋体" w:cs="宋体"/>
                <w:kern w:val="0"/>
                <w:szCs w:val="21"/>
              </w:rPr>
              <w:t>工商管理（</w:t>
            </w:r>
            <w:r w:rsidRPr="00ED0410">
              <w:rPr>
                <w:rFonts w:ascii="宋体" w:hAnsi="宋体" w:cs="宋体"/>
                <w:kern w:val="0"/>
                <w:szCs w:val="21"/>
              </w:rPr>
              <w:t>MBA</w:t>
            </w:r>
            <w:r w:rsidRPr="00ED0410">
              <w:rPr>
                <w:rFonts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3656" w:type="dxa"/>
          </w:tcPr>
          <w:p w:rsidR="008572E1" w:rsidRPr="00ED0410" w:rsidRDefault="00ED0410" w:rsidP="00802EEA">
            <w:pPr>
              <w:rPr>
                <w:rFonts w:ascii="宋体" w:hAnsi="宋体" w:cs="宋体"/>
                <w:kern w:val="0"/>
                <w:szCs w:val="21"/>
              </w:rPr>
            </w:pPr>
            <w:r w:rsidRPr="00ED0410">
              <w:rPr>
                <w:rFonts w:ascii="宋体" w:hAnsi="宋体" w:cs="宋体" w:hint="eastAsia"/>
                <w:kern w:val="0"/>
                <w:szCs w:val="21"/>
              </w:rPr>
              <w:t>2023</w:t>
            </w:r>
            <w:r w:rsidRPr="00ED0410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ED0410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ED0410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6E1D43">
              <w:rPr>
                <w:rFonts w:ascii="宋体" w:hAnsi="宋体" w:cs="宋体" w:hint="eastAsia"/>
                <w:kern w:val="0"/>
                <w:szCs w:val="21"/>
              </w:rPr>
              <w:t>13</w:t>
            </w:r>
            <w:r w:rsidRPr="00ED0410">
              <w:rPr>
                <w:rFonts w:ascii="宋体" w:hAnsi="宋体" w:cs="宋体" w:hint="eastAsia"/>
                <w:kern w:val="0"/>
                <w:szCs w:val="21"/>
              </w:rPr>
              <w:t>日</w:t>
            </w:r>
            <w:r w:rsidR="006E1D43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ED0410">
              <w:rPr>
                <w:rFonts w:ascii="宋体" w:hAnsi="宋体" w:cs="宋体" w:hint="eastAsia"/>
                <w:kern w:val="0"/>
                <w:szCs w:val="21"/>
              </w:rPr>
              <w:t>:</w:t>
            </w:r>
            <w:r w:rsidR="006E1D43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D0410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ED0410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6E1D43">
              <w:rPr>
                <w:rFonts w:ascii="宋体" w:hAnsi="宋体" w:cs="宋体" w:hint="eastAsia"/>
                <w:kern w:val="0"/>
                <w:szCs w:val="21"/>
              </w:rPr>
              <w:t>00-1</w:t>
            </w:r>
            <w:r w:rsidR="00802EEA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ED0410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Pr="00ED0410">
              <w:rPr>
                <w:rFonts w:ascii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134" w:type="dxa"/>
          </w:tcPr>
          <w:p w:rsidR="008572E1" w:rsidRPr="00ED0410" w:rsidRDefault="008572E1" w:rsidP="00ED0410">
            <w:pPr>
              <w:rPr>
                <w:rFonts w:ascii="宋体" w:hAnsi="宋体" w:cs="宋体"/>
                <w:kern w:val="0"/>
                <w:szCs w:val="21"/>
              </w:rPr>
            </w:pPr>
            <w:r w:rsidRPr="00ED0410">
              <w:rPr>
                <w:rFonts w:ascii="宋体" w:hAnsi="宋体" w:cs="宋体"/>
                <w:kern w:val="0"/>
                <w:szCs w:val="21"/>
              </w:rPr>
              <w:t>钉钉系统</w:t>
            </w:r>
          </w:p>
        </w:tc>
        <w:tc>
          <w:tcPr>
            <w:tcW w:w="2268" w:type="dxa"/>
          </w:tcPr>
          <w:p w:rsidR="008572E1" w:rsidRPr="00ED0410" w:rsidRDefault="008572E1" w:rsidP="00ED0410">
            <w:pPr>
              <w:rPr>
                <w:rFonts w:ascii="宋体" w:hAnsi="宋体" w:cs="宋体"/>
                <w:kern w:val="0"/>
                <w:szCs w:val="21"/>
              </w:rPr>
            </w:pPr>
            <w:r w:rsidRPr="00ED0410">
              <w:rPr>
                <w:rFonts w:ascii="宋体" w:hAnsi="宋体" w:cs="宋体" w:hint="eastAsia"/>
                <w:kern w:val="0"/>
                <w:szCs w:val="21"/>
              </w:rPr>
              <w:t>张老师</w:t>
            </w:r>
            <w:r w:rsidRPr="00ED0410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proofErr w:type="spellStart"/>
            <w:r w:rsidRPr="00ED0410">
              <w:rPr>
                <w:rFonts w:ascii="宋体" w:hAnsi="宋体" w:cs="宋体" w:hint="eastAsia"/>
                <w:kern w:val="0"/>
                <w:szCs w:val="21"/>
              </w:rPr>
              <w:t>cugbedu</w:t>
            </w:r>
            <w:proofErr w:type="spellEnd"/>
          </w:p>
        </w:tc>
      </w:tr>
      <w:tr w:rsidR="008572E1" w:rsidTr="00ED0410">
        <w:tc>
          <w:tcPr>
            <w:tcW w:w="2122" w:type="dxa"/>
            <w:vAlign w:val="center"/>
          </w:tcPr>
          <w:p w:rsidR="008572E1" w:rsidRPr="00ED0410" w:rsidRDefault="008572E1" w:rsidP="00ED0410">
            <w:pPr>
              <w:rPr>
                <w:rFonts w:ascii="宋体" w:hAnsi="宋体" w:cs="宋体"/>
                <w:kern w:val="0"/>
                <w:szCs w:val="21"/>
              </w:rPr>
            </w:pPr>
            <w:r w:rsidRPr="00ED0410">
              <w:rPr>
                <w:rFonts w:ascii="宋体" w:hAnsi="宋体" w:cs="宋体"/>
                <w:kern w:val="0"/>
                <w:szCs w:val="21"/>
              </w:rPr>
              <w:t>金融硕士</w:t>
            </w:r>
            <w:r w:rsidRPr="00ED0410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ED0410">
              <w:rPr>
                <w:rFonts w:ascii="宋体" w:hAnsi="宋体" w:cs="宋体" w:hint="eastAsia"/>
                <w:kern w:val="0"/>
                <w:szCs w:val="21"/>
              </w:rPr>
              <w:t>MF</w:t>
            </w:r>
            <w:r w:rsidRPr="00ED0410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656" w:type="dxa"/>
            <w:vAlign w:val="center"/>
          </w:tcPr>
          <w:p w:rsidR="008572E1" w:rsidRPr="00ED0410" w:rsidRDefault="008572E1" w:rsidP="006E1D43">
            <w:pPr>
              <w:rPr>
                <w:rFonts w:ascii="宋体" w:hAnsi="宋体" w:cs="宋体"/>
                <w:kern w:val="0"/>
                <w:szCs w:val="21"/>
              </w:rPr>
            </w:pPr>
            <w:r w:rsidRPr="00ED0410">
              <w:rPr>
                <w:rFonts w:ascii="宋体" w:hAnsi="宋体" w:cs="宋体" w:hint="eastAsia"/>
                <w:kern w:val="0"/>
                <w:szCs w:val="21"/>
              </w:rPr>
              <w:t>2023</w:t>
            </w:r>
            <w:r w:rsidRPr="00ED0410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ED0410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ED0410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6E1D43">
              <w:rPr>
                <w:rFonts w:ascii="宋体" w:hAnsi="宋体" w:cs="宋体" w:hint="eastAsia"/>
                <w:kern w:val="0"/>
                <w:szCs w:val="21"/>
              </w:rPr>
              <w:t>13</w:t>
            </w:r>
            <w:r w:rsidRPr="00ED0410">
              <w:rPr>
                <w:rFonts w:ascii="宋体" w:hAnsi="宋体" w:cs="宋体" w:hint="eastAsia"/>
                <w:kern w:val="0"/>
                <w:szCs w:val="21"/>
              </w:rPr>
              <w:t>日</w:t>
            </w:r>
            <w:r w:rsidR="006E1D43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ED0410">
              <w:rPr>
                <w:rFonts w:ascii="宋体" w:hAnsi="宋体" w:cs="宋体" w:hint="eastAsia"/>
                <w:kern w:val="0"/>
                <w:szCs w:val="21"/>
              </w:rPr>
              <w:t>:</w:t>
            </w:r>
            <w:r w:rsidR="006E1D43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D0410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ED0410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Pr="00ED0410">
              <w:rPr>
                <w:rFonts w:ascii="宋体" w:hAnsi="宋体" w:cs="宋体" w:hint="eastAsia"/>
                <w:kern w:val="0"/>
                <w:szCs w:val="21"/>
              </w:rPr>
              <w:t>00-1</w:t>
            </w:r>
            <w:r w:rsidR="00802EEA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ED0410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Pr="00ED0410">
              <w:rPr>
                <w:rFonts w:ascii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134" w:type="dxa"/>
            <w:vAlign w:val="center"/>
          </w:tcPr>
          <w:p w:rsidR="008572E1" w:rsidRPr="00ED0410" w:rsidRDefault="008572E1" w:rsidP="00ED0410">
            <w:pPr>
              <w:rPr>
                <w:rFonts w:ascii="宋体" w:hAnsi="宋体" w:cs="宋体"/>
                <w:kern w:val="0"/>
                <w:szCs w:val="21"/>
              </w:rPr>
            </w:pPr>
            <w:r w:rsidRPr="00ED0410">
              <w:rPr>
                <w:rFonts w:ascii="宋体" w:hAnsi="宋体" w:cs="宋体"/>
                <w:kern w:val="0"/>
                <w:szCs w:val="21"/>
              </w:rPr>
              <w:t>钉钉系统</w:t>
            </w:r>
          </w:p>
        </w:tc>
        <w:tc>
          <w:tcPr>
            <w:tcW w:w="2268" w:type="dxa"/>
            <w:vAlign w:val="center"/>
          </w:tcPr>
          <w:p w:rsidR="008572E1" w:rsidRPr="00ED0410" w:rsidRDefault="00247300" w:rsidP="00F96B4F">
            <w:pPr>
              <w:rPr>
                <w:rFonts w:ascii="宋体" w:hAnsi="宋体" w:cs="宋体"/>
                <w:kern w:val="0"/>
                <w:szCs w:val="21"/>
              </w:rPr>
            </w:pPr>
            <w:r w:rsidRPr="00247300">
              <w:rPr>
                <w:rFonts w:ascii="宋体" w:hAnsi="宋体" w:cs="宋体" w:hint="eastAsia"/>
                <w:kern w:val="0"/>
                <w:szCs w:val="21"/>
              </w:rPr>
              <w:t>葛老师</w:t>
            </w:r>
            <w:r w:rsidRPr="00247300">
              <w:rPr>
                <w:rFonts w:ascii="宋体" w:hAnsi="宋体" w:cs="宋体"/>
                <w:kern w:val="0"/>
                <w:szCs w:val="21"/>
              </w:rPr>
              <w:t>zcehf0h</w:t>
            </w:r>
            <w:r w:rsidR="00F96B4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="00F96B4F" w:rsidRPr="00247300">
              <w:rPr>
                <w:rFonts w:ascii="宋体" w:hAnsi="宋体" w:cs="宋体" w:hint="eastAsia"/>
                <w:kern w:val="0"/>
                <w:szCs w:val="21"/>
              </w:rPr>
              <w:t>手机号</w:t>
            </w:r>
            <w:r w:rsidR="00F96B4F" w:rsidRPr="00247300">
              <w:rPr>
                <w:rFonts w:ascii="宋体" w:hAnsi="宋体" w:cs="宋体"/>
                <w:kern w:val="0"/>
                <w:szCs w:val="21"/>
              </w:rPr>
              <w:t>15332305627</w:t>
            </w:r>
            <w:r w:rsidR="00F96B4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</w:tr>
    </w:tbl>
    <w:p w:rsidR="008572E1" w:rsidRDefault="008572E1" w:rsidP="008572E1">
      <w:pPr>
        <w:spacing w:line="360" w:lineRule="auto"/>
        <w:rPr>
          <w:b/>
          <w:bCs/>
        </w:rPr>
      </w:pPr>
      <w:bookmarkStart w:id="1" w:name="_Hlk40109570"/>
      <w:r>
        <w:rPr>
          <w:rFonts w:hint="eastAsia"/>
          <w:b/>
          <w:bCs/>
        </w:rPr>
        <w:t>（2）</w:t>
      </w:r>
      <w:r w:rsidRPr="00C97036">
        <w:rPr>
          <w:b/>
          <w:bCs/>
        </w:rPr>
        <w:t>综合素质面试和外语测试</w:t>
      </w:r>
    </w:p>
    <w:tbl>
      <w:tblPr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3685"/>
        <w:gridCol w:w="1163"/>
        <w:gridCol w:w="2239"/>
      </w:tblGrid>
      <w:tr w:rsidR="008572E1" w:rsidTr="00590016">
        <w:trPr>
          <w:trHeight w:val="51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E1" w:rsidRDefault="008572E1" w:rsidP="00A1681E">
            <w:pPr>
              <w:jc w:val="center"/>
              <w:rPr>
                <w:color w:val="000000"/>
                <w:sz w:val="22"/>
              </w:rPr>
            </w:pPr>
            <w:r>
              <w:rPr>
                <w:rFonts w:hAnsi="宋体"/>
                <w:color w:val="000000"/>
                <w:sz w:val="22"/>
              </w:rPr>
              <w:t>专业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2E1" w:rsidRDefault="008572E1" w:rsidP="00A1681E">
            <w:pPr>
              <w:jc w:val="center"/>
              <w:rPr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综合</w:t>
            </w:r>
            <w:r>
              <w:rPr>
                <w:rFonts w:hAnsi="宋体"/>
                <w:color w:val="000000"/>
                <w:sz w:val="22"/>
              </w:rPr>
              <w:t>复试（包括英语测试）</w:t>
            </w:r>
          </w:p>
        </w:tc>
      </w:tr>
      <w:tr w:rsidR="008572E1" w:rsidTr="006E1D43">
        <w:trPr>
          <w:trHeight w:val="510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1" w:rsidRDefault="008572E1" w:rsidP="00A1681E">
            <w:pPr>
              <w:rPr>
                <w:color w:val="00000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2E1" w:rsidRDefault="008572E1" w:rsidP="00A1681E">
            <w:pPr>
              <w:jc w:val="center"/>
              <w:rPr>
                <w:color w:val="000000"/>
                <w:sz w:val="22"/>
              </w:rPr>
            </w:pPr>
            <w:r>
              <w:rPr>
                <w:rFonts w:hAnsi="宋体"/>
                <w:color w:val="000000"/>
                <w:sz w:val="22"/>
              </w:rPr>
              <w:t>时间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2E1" w:rsidRDefault="008572E1" w:rsidP="00A1681E">
            <w:pPr>
              <w:jc w:val="center"/>
              <w:rPr>
                <w:color w:val="000000"/>
                <w:sz w:val="22"/>
              </w:rPr>
            </w:pPr>
            <w:r>
              <w:rPr>
                <w:rFonts w:hAnsi="宋体"/>
                <w:color w:val="000000"/>
                <w:sz w:val="22"/>
              </w:rPr>
              <w:t>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E1" w:rsidRDefault="008572E1" w:rsidP="00A1681E">
            <w:pPr>
              <w:jc w:val="center"/>
              <w:rPr>
                <w:color w:val="000000"/>
                <w:sz w:val="22"/>
              </w:rPr>
            </w:pPr>
            <w:r>
              <w:rPr>
                <w:rFonts w:hAnsi="宋体"/>
                <w:color w:val="000000"/>
                <w:sz w:val="22"/>
              </w:rPr>
              <w:t>复试专家集中地点</w:t>
            </w:r>
          </w:p>
        </w:tc>
      </w:tr>
      <w:tr w:rsidR="008572E1" w:rsidTr="006E1D43">
        <w:trPr>
          <w:trHeight w:val="51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2E1" w:rsidRPr="00ED0410" w:rsidRDefault="008572E1" w:rsidP="00A168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D0410">
              <w:rPr>
                <w:rFonts w:ascii="宋体" w:hAnsi="宋体" w:cs="宋体"/>
                <w:kern w:val="0"/>
                <w:szCs w:val="21"/>
              </w:rPr>
              <w:t>工商管理（</w:t>
            </w:r>
            <w:r w:rsidRPr="00ED0410">
              <w:rPr>
                <w:rFonts w:ascii="宋体" w:hAnsi="宋体" w:cs="宋体"/>
                <w:kern w:val="0"/>
                <w:szCs w:val="21"/>
              </w:rPr>
              <w:t>MBA</w:t>
            </w:r>
            <w:r w:rsidRPr="00ED0410">
              <w:rPr>
                <w:rFonts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2E1" w:rsidRPr="00ED0410" w:rsidRDefault="008572E1" w:rsidP="006E1D43">
            <w:pPr>
              <w:rPr>
                <w:rFonts w:ascii="宋体" w:hAnsi="宋体" w:cs="宋体"/>
                <w:kern w:val="0"/>
                <w:szCs w:val="21"/>
              </w:rPr>
            </w:pPr>
            <w:r w:rsidRPr="00ED0410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ED0410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6E1D43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ED0410">
              <w:rPr>
                <w:rFonts w:ascii="宋体" w:hAnsi="宋体" w:cs="宋体" w:hint="eastAsia"/>
                <w:kern w:val="0"/>
                <w:szCs w:val="21"/>
              </w:rPr>
              <w:t>日</w:t>
            </w:r>
            <w:r w:rsidR="006E1D43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ED0410">
              <w:rPr>
                <w:rFonts w:ascii="宋体" w:hAnsi="宋体" w:cs="宋体" w:hint="eastAsia"/>
                <w:kern w:val="0"/>
                <w:szCs w:val="21"/>
              </w:rPr>
              <w:t>:30-</w:t>
            </w:r>
            <w:r w:rsidR="006E1D43">
              <w:rPr>
                <w:rFonts w:ascii="宋体" w:hAnsi="宋体" w:cs="宋体" w:hint="eastAsia"/>
                <w:kern w:val="0"/>
                <w:szCs w:val="21"/>
              </w:rPr>
              <w:t>16</w:t>
            </w:r>
            <w:r w:rsidRPr="00ED0410">
              <w:rPr>
                <w:rFonts w:ascii="宋体" w:hAnsi="宋体" w:cs="宋体" w:hint="eastAsia"/>
                <w:kern w:val="0"/>
                <w:szCs w:val="21"/>
              </w:rPr>
              <w:t>:</w:t>
            </w:r>
            <w:r w:rsidR="006E1D43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ED0410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2E1" w:rsidRPr="00ED0410" w:rsidRDefault="008572E1" w:rsidP="004D1281">
            <w:pPr>
              <w:rPr>
                <w:rFonts w:ascii="宋体" w:hAnsi="宋体" w:cs="宋体"/>
                <w:kern w:val="0"/>
                <w:szCs w:val="21"/>
              </w:rPr>
            </w:pPr>
            <w:r w:rsidRPr="00ED0410">
              <w:rPr>
                <w:rFonts w:ascii="宋体" w:hAnsi="宋体" w:cs="宋体"/>
                <w:kern w:val="0"/>
                <w:szCs w:val="21"/>
              </w:rPr>
              <w:t>网络远程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E1" w:rsidRPr="00ED0410" w:rsidRDefault="004D1281" w:rsidP="004D1281">
            <w:pPr>
              <w:rPr>
                <w:rFonts w:ascii="宋体" w:hAnsi="宋体" w:cs="宋体"/>
                <w:kern w:val="0"/>
                <w:szCs w:val="21"/>
              </w:rPr>
            </w:pPr>
            <w:r w:rsidRPr="00ED0410">
              <w:rPr>
                <w:rFonts w:ascii="宋体" w:hAnsi="宋体" w:cs="宋体" w:hint="eastAsia"/>
                <w:kern w:val="0"/>
                <w:szCs w:val="21"/>
              </w:rPr>
              <w:t>待定</w:t>
            </w:r>
          </w:p>
        </w:tc>
      </w:tr>
      <w:tr w:rsidR="00590016" w:rsidTr="00590016">
        <w:trPr>
          <w:trHeight w:val="51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016" w:rsidRPr="00ED0410" w:rsidRDefault="00590016" w:rsidP="00A168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D0410">
              <w:rPr>
                <w:rFonts w:ascii="宋体" w:hAnsi="宋体" w:cs="宋体"/>
                <w:kern w:val="0"/>
                <w:szCs w:val="21"/>
              </w:rPr>
              <w:t>金融硕士</w:t>
            </w:r>
            <w:r w:rsidRPr="00ED0410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ED0410">
              <w:rPr>
                <w:rFonts w:ascii="宋体" w:hAnsi="宋体" w:cs="宋体" w:hint="eastAsia"/>
                <w:kern w:val="0"/>
                <w:szCs w:val="21"/>
              </w:rPr>
              <w:t>MF</w:t>
            </w:r>
            <w:r w:rsidRPr="00ED0410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016" w:rsidRPr="00ED0410" w:rsidRDefault="00590016" w:rsidP="006E1D43">
            <w:pPr>
              <w:rPr>
                <w:rFonts w:ascii="宋体" w:hAnsi="宋体" w:cs="宋体"/>
                <w:kern w:val="0"/>
                <w:szCs w:val="21"/>
              </w:rPr>
            </w:pPr>
            <w:r w:rsidRPr="00ED0410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ED0410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6E1D43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ED0410">
              <w:rPr>
                <w:rFonts w:ascii="宋体" w:hAnsi="宋体" w:cs="宋体" w:hint="eastAsia"/>
                <w:kern w:val="0"/>
                <w:szCs w:val="21"/>
              </w:rPr>
              <w:t>日</w:t>
            </w:r>
            <w:r w:rsidRPr="00ED0410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6E1D43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D0410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6E1D43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ED0410">
              <w:rPr>
                <w:rFonts w:ascii="宋体" w:hAnsi="宋体" w:cs="宋体"/>
                <w:kern w:val="0"/>
                <w:szCs w:val="21"/>
              </w:rPr>
              <w:t>0—</w:t>
            </w:r>
            <w:r w:rsidR="006E1D43">
              <w:rPr>
                <w:rFonts w:ascii="宋体" w:hAnsi="宋体" w:cs="宋体" w:hint="eastAsia"/>
                <w:kern w:val="0"/>
                <w:szCs w:val="21"/>
              </w:rPr>
              <w:t>16</w:t>
            </w:r>
            <w:r w:rsidRPr="00ED0410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6E1D43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ED0410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016" w:rsidRPr="00ED0410" w:rsidRDefault="00590016" w:rsidP="00A1681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D0410">
              <w:rPr>
                <w:rFonts w:ascii="宋体" w:hAnsi="宋体" w:cs="宋体"/>
                <w:kern w:val="0"/>
                <w:szCs w:val="21"/>
              </w:rPr>
              <w:t>网络远程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16" w:rsidRPr="00ED0410" w:rsidRDefault="00590016" w:rsidP="00A1681E">
            <w:pPr>
              <w:rPr>
                <w:rFonts w:ascii="宋体" w:hAnsi="宋体" w:cs="宋体"/>
                <w:kern w:val="0"/>
                <w:szCs w:val="21"/>
              </w:rPr>
            </w:pPr>
            <w:r w:rsidRPr="00ED0410">
              <w:rPr>
                <w:rFonts w:ascii="宋体" w:hAnsi="宋体" w:cs="宋体" w:hint="eastAsia"/>
                <w:kern w:val="0"/>
                <w:szCs w:val="21"/>
              </w:rPr>
              <w:t>待定</w:t>
            </w:r>
          </w:p>
        </w:tc>
      </w:tr>
    </w:tbl>
    <w:p w:rsidR="008572E1" w:rsidRDefault="004D1281" w:rsidP="004D1281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lastRenderedPageBreak/>
        <w:t>（3）</w:t>
      </w:r>
      <w:bookmarkEnd w:id="1"/>
      <w:r w:rsidRPr="004D1281">
        <w:rPr>
          <w:b/>
          <w:bCs/>
        </w:rPr>
        <w:t>专业笔试</w:t>
      </w:r>
      <w:r w:rsidR="00ED0410">
        <w:rPr>
          <w:rFonts w:hint="eastAsia"/>
          <w:b/>
          <w:bCs/>
        </w:rPr>
        <w:t>、</w:t>
      </w:r>
      <w:r w:rsidR="00ED0410" w:rsidRPr="00ED0410">
        <w:rPr>
          <w:rFonts w:hint="eastAsia"/>
          <w:b/>
          <w:bCs/>
        </w:rPr>
        <w:t>同等学力和跨专业考生</w:t>
      </w:r>
      <w:r w:rsidRPr="004D1281">
        <w:rPr>
          <w:b/>
          <w:bCs/>
        </w:rPr>
        <w:t>加试</w:t>
      </w:r>
      <w:r w:rsidR="008572E1">
        <w:rPr>
          <w:rFonts w:hint="eastAsia"/>
          <w:b/>
          <w:bCs/>
        </w:rPr>
        <w:t>时间和方式</w:t>
      </w:r>
    </w:p>
    <w:tbl>
      <w:tblPr>
        <w:tblW w:w="9252" w:type="dxa"/>
        <w:jc w:val="center"/>
        <w:tblLayout w:type="fixed"/>
        <w:tblLook w:val="04A0" w:firstRow="1" w:lastRow="0" w:firstColumn="1" w:lastColumn="0" w:noHBand="0" w:noVBand="1"/>
      </w:tblPr>
      <w:tblGrid>
        <w:gridCol w:w="1824"/>
        <w:gridCol w:w="1794"/>
        <w:gridCol w:w="885"/>
        <w:gridCol w:w="1524"/>
        <w:gridCol w:w="993"/>
        <w:gridCol w:w="993"/>
        <w:gridCol w:w="1239"/>
      </w:tblGrid>
      <w:tr w:rsidR="004D1281" w:rsidTr="00ED0410">
        <w:trPr>
          <w:trHeight w:val="510"/>
          <w:jc w:val="center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281" w:rsidRPr="00ED0410" w:rsidRDefault="004D1281" w:rsidP="00A168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D0410">
              <w:rPr>
                <w:rFonts w:ascii="宋体" w:hAnsi="宋体" w:cs="宋体"/>
                <w:kern w:val="0"/>
                <w:szCs w:val="21"/>
              </w:rPr>
              <w:t>专业</w:t>
            </w:r>
            <w:r w:rsidRPr="00ED0410">
              <w:rPr>
                <w:rFonts w:ascii="宋体" w:hAnsi="宋体" w:cs="宋体"/>
                <w:kern w:val="0"/>
                <w:szCs w:val="21"/>
              </w:rPr>
              <w:t xml:space="preserve">       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281" w:rsidRPr="00ED0410" w:rsidRDefault="004D1281" w:rsidP="00A168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D0410">
              <w:rPr>
                <w:rFonts w:ascii="宋体" w:hAnsi="宋体" w:cs="宋体"/>
                <w:kern w:val="0"/>
                <w:szCs w:val="21"/>
              </w:rPr>
              <w:t>专业笔试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281" w:rsidRPr="00ED0410" w:rsidRDefault="004D1281" w:rsidP="00A168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D0410">
              <w:rPr>
                <w:rFonts w:ascii="宋体" w:hAnsi="宋体" w:cs="宋体"/>
                <w:kern w:val="0"/>
                <w:szCs w:val="21"/>
              </w:rPr>
              <w:t>跨专业笔试加试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81" w:rsidRPr="00ED0410" w:rsidRDefault="004D1281" w:rsidP="00A168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D0410">
              <w:rPr>
                <w:rFonts w:ascii="宋体" w:hAnsi="宋体" w:cs="宋体"/>
                <w:kern w:val="0"/>
                <w:szCs w:val="21"/>
              </w:rPr>
              <w:t>同等学历笔试加试</w:t>
            </w:r>
          </w:p>
        </w:tc>
      </w:tr>
      <w:tr w:rsidR="004D1281" w:rsidTr="00ED0410">
        <w:trPr>
          <w:trHeight w:val="510"/>
          <w:jc w:val="center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81" w:rsidRPr="00ED0410" w:rsidRDefault="004D1281" w:rsidP="00ED04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281" w:rsidRPr="00ED0410" w:rsidRDefault="004D1281" w:rsidP="00ED04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D0410">
              <w:rPr>
                <w:rFonts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281" w:rsidRPr="00ED0410" w:rsidRDefault="004D1281" w:rsidP="00ED04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D0410">
              <w:rPr>
                <w:rFonts w:ascii="宋体" w:hAnsi="宋体" w:cs="宋体"/>
                <w:kern w:val="0"/>
                <w:szCs w:val="21"/>
              </w:rPr>
              <w:t>方式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281" w:rsidRPr="00ED0410" w:rsidRDefault="004D1281" w:rsidP="00ED04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D0410">
              <w:rPr>
                <w:rFonts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281" w:rsidRPr="00ED0410" w:rsidRDefault="004D1281" w:rsidP="00ED04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D0410">
              <w:rPr>
                <w:rFonts w:ascii="宋体" w:hAnsi="宋体" w:cs="宋体"/>
                <w:kern w:val="0"/>
                <w:szCs w:val="21"/>
              </w:rPr>
              <w:t>方式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281" w:rsidRPr="00ED0410" w:rsidRDefault="004D1281" w:rsidP="00ED04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D0410">
              <w:rPr>
                <w:rFonts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281" w:rsidRPr="00ED0410" w:rsidRDefault="004D1281" w:rsidP="00ED04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D0410">
              <w:rPr>
                <w:rFonts w:ascii="宋体" w:hAnsi="宋体" w:cs="宋体"/>
                <w:kern w:val="0"/>
                <w:szCs w:val="21"/>
              </w:rPr>
              <w:t>方式</w:t>
            </w:r>
          </w:p>
        </w:tc>
      </w:tr>
      <w:tr w:rsidR="004D1281" w:rsidTr="00ED0410">
        <w:trPr>
          <w:trHeight w:val="510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281" w:rsidRPr="00ED0410" w:rsidRDefault="004D1281" w:rsidP="00A168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D0410">
              <w:rPr>
                <w:rFonts w:ascii="宋体" w:hAnsi="宋体" w:cs="宋体" w:hint="eastAsia"/>
                <w:kern w:val="0"/>
                <w:szCs w:val="21"/>
              </w:rPr>
              <w:t>金融硕士（</w:t>
            </w:r>
            <w:r w:rsidRPr="00ED0410">
              <w:rPr>
                <w:rFonts w:ascii="宋体" w:hAnsi="宋体" w:cs="宋体" w:hint="eastAsia"/>
                <w:kern w:val="0"/>
                <w:szCs w:val="21"/>
              </w:rPr>
              <w:t>MF</w:t>
            </w:r>
            <w:r w:rsidRPr="00ED0410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281" w:rsidRDefault="004D1281" w:rsidP="00802E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802EEA">
              <w:rPr>
                <w:rFonts w:ascii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  <w:r w:rsidR="00802EEA">
              <w:rPr>
                <w:rFonts w:ascii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hAnsi="宋体" w:cs="宋体" w:hint="eastAsia"/>
                <w:kern w:val="0"/>
                <w:szCs w:val="21"/>
              </w:rPr>
              <w:t>:00-</w:t>
            </w:r>
            <w:r w:rsidR="00802EEA"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:00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281" w:rsidRPr="00ED0410" w:rsidRDefault="004D1281" w:rsidP="00A168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D0410">
              <w:rPr>
                <w:rFonts w:ascii="宋体" w:hAnsi="宋体" w:cs="宋体" w:hint="eastAsia"/>
                <w:kern w:val="0"/>
                <w:szCs w:val="21"/>
              </w:rPr>
              <w:t>开卷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281" w:rsidRPr="00ED0410" w:rsidRDefault="004D1281" w:rsidP="00A168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D0410">
              <w:rPr>
                <w:rFonts w:ascii="宋体" w:hAnsi="宋体" w:cs="宋体" w:hint="eastAsia"/>
                <w:kern w:val="0"/>
                <w:szCs w:val="21"/>
              </w:rPr>
              <w:t>无加试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281" w:rsidRPr="00ED0410" w:rsidRDefault="004D1281" w:rsidP="00A168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81" w:rsidRPr="00ED0410" w:rsidRDefault="004D1281" w:rsidP="00A168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D0410">
              <w:rPr>
                <w:rFonts w:ascii="宋体" w:hAnsi="宋体" w:cs="宋体"/>
                <w:kern w:val="0"/>
                <w:szCs w:val="21"/>
              </w:rPr>
              <w:t>见</w:t>
            </w:r>
            <w:r w:rsidRPr="00ED0410">
              <w:rPr>
                <w:rFonts w:ascii="宋体" w:hAnsi="宋体" w:cs="宋体" w:hint="eastAsia"/>
                <w:kern w:val="0"/>
                <w:szCs w:val="21"/>
              </w:rPr>
              <w:t>“</w:t>
            </w:r>
            <w:r w:rsidRPr="00ED0410">
              <w:rPr>
                <w:rFonts w:ascii="宋体" w:hAnsi="宋体" w:cs="宋体"/>
                <w:kern w:val="0"/>
                <w:szCs w:val="21"/>
              </w:rPr>
              <w:t>综合素质面试和外语测试</w:t>
            </w:r>
            <w:r w:rsidRPr="00ED0410">
              <w:rPr>
                <w:rFonts w:ascii="宋体" w:hAnsi="宋体" w:cs="宋体" w:hint="eastAsia"/>
                <w:kern w:val="0"/>
                <w:szCs w:val="21"/>
              </w:rPr>
              <w:t>”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81" w:rsidRPr="00ED0410" w:rsidRDefault="004D1281" w:rsidP="00A168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D0410">
              <w:rPr>
                <w:rFonts w:ascii="宋体" w:hAnsi="宋体" w:cs="宋体"/>
                <w:kern w:val="0"/>
                <w:szCs w:val="21"/>
              </w:rPr>
              <w:t>开卷</w:t>
            </w:r>
          </w:p>
        </w:tc>
      </w:tr>
    </w:tbl>
    <w:p w:rsidR="007E5CCD" w:rsidRPr="00ED0410" w:rsidRDefault="00270C1D">
      <w:pPr>
        <w:widowControl/>
        <w:shd w:val="clear" w:color="auto" w:fill="FFFFFF"/>
        <w:spacing w:line="360" w:lineRule="atLeast"/>
        <w:ind w:firstLineChars="200" w:firstLine="562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ED0410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2.复试程序</w:t>
      </w:r>
    </w:p>
    <w:p w:rsidR="007E5CCD" w:rsidRPr="00ED0410" w:rsidRDefault="00270C1D">
      <w:pPr>
        <w:widowControl/>
        <w:shd w:val="clear" w:color="auto" w:fill="FFFFFF"/>
        <w:spacing w:line="360" w:lineRule="atLeas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D0410">
        <w:rPr>
          <w:rFonts w:ascii="仿宋" w:eastAsia="仿宋" w:hAnsi="仿宋" w:hint="eastAsia"/>
          <w:color w:val="333333"/>
          <w:sz w:val="28"/>
          <w:szCs w:val="28"/>
        </w:rPr>
        <w:t>缴纳复试费（100元/生）→提交复试材料→学院资格审查→签订《诚信复试承诺书》→进入复试各环节。</w:t>
      </w:r>
    </w:p>
    <w:p w:rsidR="007E5CCD" w:rsidRPr="00ED0410" w:rsidRDefault="00270C1D">
      <w:pPr>
        <w:widowControl/>
        <w:shd w:val="clear" w:color="auto" w:fill="FFFFFF"/>
        <w:spacing w:line="360" w:lineRule="atLeast"/>
        <w:ind w:firstLineChars="200" w:firstLine="562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D0410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3.复试缴费及材料提交</w:t>
      </w:r>
    </w:p>
    <w:p w:rsidR="007E5CCD" w:rsidRPr="00ED0410" w:rsidRDefault="00270C1D">
      <w:pPr>
        <w:widowControl/>
        <w:shd w:val="clear" w:color="auto" w:fill="FFFFFF"/>
        <w:spacing w:line="360" w:lineRule="atLeas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D0410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（一）</w:t>
      </w:r>
      <w:r w:rsidR="00ED0410" w:rsidRPr="00ED0410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4</w:t>
      </w:r>
      <w:r w:rsidRPr="00ED0410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月</w:t>
      </w:r>
      <w:r w:rsidR="00802EEA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13</w:t>
      </w:r>
      <w:r w:rsidRPr="00ED0410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日</w:t>
      </w:r>
      <w:r w:rsidR="00ED0410" w:rsidRPr="00ED0410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15</w:t>
      </w:r>
      <w:r w:rsidRPr="00ED0410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：00</w:t>
      </w:r>
      <w:r w:rsidRPr="00ED0410"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  <w:t>前在“智慧研招”系统</w:t>
      </w:r>
      <w:r w:rsidRPr="00ED0410">
        <w:rPr>
          <w:rFonts w:ascii="仿宋" w:eastAsia="仿宋" w:hAnsi="仿宋" w:hint="eastAsia"/>
          <w:sz w:val="28"/>
          <w:szCs w:val="28"/>
          <w:shd w:val="clear" w:color="auto" w:fill="FFFFFF"/>
        </w:rPr>
        <w:t>（</w:t>
      </w:r>
      <w:r w:rsidRPr="00ED0410">
        <w:rPr>
          <w:rFonts w:ascii="仿宋" w:eastAsia="仿宋" w:hAnsi="仿宋"/>
          <w:sz w:val="28"/>
          <w:szCs w:val="28"/>
        </w:rPr>
        <w:t>https://bdyzb.cugb.edu.cn/tp/zs/login/toLogin/ss</w:t>
      </w:r>
      <w:r w:rsidRPr="00ED0410">
        <w:rPr>
          <w:rFonts w:ascii="仿宋" w:eastAsia="仿宋" w:hAnsi="仿宋" w:hint="eastAsia"/>
          <w:sz w:val="28"/>
          <w:szCs w:val="28"/>
        </w:rPr>
        <w:t>）</w:t>
      </w:r>
      <w:r w:rsidRPr="00ED0410"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  <w:t>中完成复试缴费及材料提交。考生用户名为考生编号，初试密码为考生身份证号。逾期未完成者视为主动放弃复试资格。</w:t>
      </w:r>
    </w:p>
    <w:p w:rsidR="007E5CCD" w:rsidRPr="00ED0410" w:rsidRDefault="00270C1D">
      <w:pPr>
        <w:widowControl/>
        <w:shd w:val="clear" w:color="auto" w:fill="FFFFFF"/>
        <w:spacing w:line="360" w:lineRule="atLeas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D041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（三）须提交的具体复试材料及要求详见《</w:t>
      </w:r>
      <w:r w:rsidR="00ED0410" w:rsidRPr="00ED041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中国地质大学（北京）经济管理学院</w:t>
      </w:r>
      <w:r w:rsidR="00ED0410" w:rsidRPr="00ED0410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 2023年专业学位类硕士研究生复试录取工作方案</w:t>
      </w:r>
      <w:r w:rsidRPr="00ED041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》</w:t>
      </w:r>
      <w:r w:rsidR="00ED0410" w:rsidRPr="00ED041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</w:t>
      </w:r>
      <w:r w:rsidR="00ED0410" w:rsidRPr="00ED0410">
        <w:rPr>
          <w:rFonts w:ascii="仿宋" w:eastAsia="仿宋" w:hAnsi="仿宋" w:cs="宋体"/>
          <w:color w:val="333333"/>
          <w:kern w:val="0"/>
          <w:sz w:val="28"/>
          <w:szCs w:val="28"/>
        </w:rPr>
        <w:t>https://bm.cugb.edu.cn/mba/c/2023-03-23/773442.shtml</w:t>
      </w:r>
      <w:r w:rsidR="00ED0410" w:rsidRPr="00ED041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）</w:t>
      </w:r>
      <w:r w:rsidRPr="00ED041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:rsidR="007E5CCD" w:rsidRDefault="00270C1D">
      <w:pPr>
        <w:widowControl/>
        <w:shd w:val="clear" w:color="auto" w:fill="FFFFFF"/>
        <w:spacing w:line="360" w:lineRule="atLeast"/>
        <w:ind w:firstLineChars="200" w:firstLine="643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五、说明</w:t>
      </w:r>
    </w:p>
    <w:p w:rsidR="007E5CCD" w:rsidRDefault="00270C1D" w:rsidP="00802EEA">
      <w:pPr>
        <w:pStyle w:val="a5"/>
        <w:shd w:val="clear" w:color="auto" w:fill="FFFFFF"/>
        <w:wordWrap w:val="0"/>
        <w:spacing w:before="0" w:beforeAutospacing="0" w:after="0" w:afterAutospacing="0"/>
        <w:ind w:firstLine="450"/>
        <w:jc w:val="both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1.收到复试通知的调剂考生须严格按照我院规定的时间、地点参加复试，逾期视为自动放弃复试资格。通过复试的考生收到我校“待录取”通知后，须在规定时间内予以确认，逾期将视为自动放弃。通过调剂系统确认已接收其他招生单位或其他专业“待录取”通知的考生，视为自动放弃该调剂专业的调剂复试资格和</w:t>
      </w:r>
      <w:proofErr w:type="gramStart"/>
      <w:r>
        <w:rPr>
          <w:rFonts w:ascii="仿宋" w:eastAsia="仿宋" w:hAnsi="仿宋" w:hint="eastAsia"/>
          <w:color w:val="333333"/>
          <w:sz w:val="28"/>
          <w:szCs w:val="28"/>
        </w:rPr>
        <w:t>拟录取</w:t>
      </w:r>
      <w:proofErr w:type="gramEnd"/>
      <w:r>
        <w:rPr>
          <w:rFonts w:ascii="仿宋" w:eastAsia="仿宋" w:hAnsi="仿宋" w:hint="eastAsia"/>
          <w:color w:val="333333"/>
          <w:sz w:val="28"/>
          <w:szCs w:val="28"/>
        </w:rPr>
        <w:t>资格，我院将按照调剂复试录取成绩高低顺次拟录取下一位复试合格考生。</w:t>
      </w:r>
    </w:p>
    <w:p w:rsidR="007E5CCD" w:rsidRDefault="00802EEA">
      <w:pPr>
        <w:widowControl/>
        <w:shd w:val="clear" w:color="auto" w:fill="FFFFFF"/>
        <w:spacing w:line="360" w:lineRule="atLeas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2</w:t>
      </w:r>
      <w:r w:rsidR="00270C1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.其他信息请参见《</w:t>
      </w:r>
      <w:r w:rsidR="00ED0410" w:rsidRPr="00ED041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中国地质大学（北京）经济管理学院</w:t>
      </w:r>
      <w:r w:rsidR="00ED0410" w:rsidRPr="00ED0410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 2023年专业学位类硕士研究生复试录取工作方案</w:t>
      </w:r>
      <w:r w:rsidR="00270C1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》</w:t>
      </w:r>
      <w:r w:rsidR="00ED0410" w:rsidRPr="00ED041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</w:t>
      </w:r>
      <w:r w:rsidR="00ED0410" w:rsidRPr="00ED0410">
        <w:rPr>
          <w:rFonts w:ascii="仿宋" w:eastAsia="仿宋" w:hAnsi="仿宋" w:cs="宋体"/>
          <w:color w:val="333333"/>
          <w:kern w:val="0"/>
          <w:sz w:val="28"/>
          <w:szCs w:val="28"/>
        </w:rPr>
        <w:t>https://bm.cugb.edu.cn/mba/c/2023-03-23/773442.shtml</w:t>
      </w:r>
      <w:r w:rsidR="00ED0410" w:rsidRPr="00ED041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）</w:t>
      </w:r>
      <w:r w:rsidR="00270C1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7E5CCD" w:rsidRPr="00ED0410" w:rsidRDefault="007E5CCD">
      <w:pPr>
        <w:widowControl/>
        <w:shd w:val="clear" w:color="auto" w:fill="FFFFFF"/>
        <w:spacing w:line="360" w:lineRule="atLeas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7E5CCD" w:rsidRDefault="00270C1D">
      <w:pPr>
        <w:widowControl/>
        <w:shd w:val="clear" w:color="auto" w:fill="FFFFFF"/>
        <w:spacing w:line="360" w:lineRule="atLeas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请及时关注中国地质大学（北京）研究生院招生信息、</w:t>
      </w:r>
      <w:r w:rsidR="00ED041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经济管理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学院网站招生信息相关通知。</w:t>
      </w:r>
    </w:p>
    <w:p w:rsidR="007E5CCD" w:rsidRDefault="007E5CCD">
      <w:pPr>
        <w:widowControl/>
        <w:shd w:val="clear" w:color="auto" w:fill="FFFFFF"/>
        <w:spacing w:line="360" w:lineRule="atLeas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7E5CCD" w:rsidRDefault="00270C1D" w:rsidP="00270C1D">
      <w:pPr>
        <w:widowControl/>
        <w:shd w:val="clear" w:color="auto" w:fill="FFFFFF"/>
        <w:spacing w:line="360" w:lineRule="atLeast"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中国地质大学（北京）</w:t>
      </w:r>
      <w:r w:rsidR="00ED041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经济管理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学院</w:t>
      </w:r>
    </w:p>
    <w:p w:rsidR="007E5CCD" w:rsidRDefault="00270C1D" w:rsidP="00270C1D">
      <w:pPr>
        <w:widowControl/>
        <w:shd w:val="clear" w:color="auto" w:fill="FFFFFF"/>
        <w:spacing w:line="360" w:lineRule="atLeast"/>
        <w:ind w:firstLineChars="2000" w:firstLine="5600"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2023年</w:t>
      </w:r>
      <w:r w:rsidR="00802EE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802EE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12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7E5CCD" w:rsidRDefault="007E5CCD">
      <w:pPr>
        <w:rPr>
          <w:rFonts w:ascii="仿宋" w:eastAsia="仿宋" w:hAnsi="仿宋"/>
          <w:sz w:val="32"/>
          <w:szCs w:val="32"/>
        </w:rPr>
      </w:pPr>
    </w:p>
    <w:sectPr w:rsidR="007E5CCD" w:rsidSect="004115D2">
      <w:pgSz w:w="11906" w:h="16838"/>
      <w:pgMar w:top="1440" w:right="1406" w:bottom="993" w:left="140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3tDQwNjAxNjEyMbdU0lEKTi0uzszPAykwrgUAdbNZMCwAAAA="/>
    <w:docVar w:name="commondata" w:val="eyJoZGlkIjoiODQ5ZTMwZTYwMDE1MGVmZWQ5ZTE4YmI5ODcxMDE5ZGUifQ=="/>
  </w:docVars>
  <w:rsids>
    <w:rsidRoot w:val="00172A27"/>
    <w:rsid w:val="00034D4B"/>
    <w:rsid w:val="00051132"/>
    <w:rsid w:val="00065B52"/>
    <w:rsid w:val="0007258D"/>
    <w:rsid w:val="00084711"/>
    <w:rsid w:val="000F437C"/>
    <w:rsid w:val="00101A8D"/>
    <w:rsid w:val="00153930"/>
    <w:rsid w:val="00172A27"/>
    <w:rsid w:val="001A36EB"/>
    <w:rsid w:val="00217A04"/>
    <w:rsid w:val="00227741"/>
    <w:rsid w:val="00227B9A"/>
    <w:rsid w:val="00234FB5"/>
    <w:rsid w:val="00247300"/>
    <w:rsid w:val="00270C1D"/>
    <w:rsid w:val="002A7A7E"/>
    <w:rsid w:val="002C46B6"/>
    <w:rsid w:val="002C4D27"/>
    <w:rsid w:val="0031718F"/>
    <w:rsid w:val="003178C3"/>
    <w:rsid w:val="00364632"/>
    <w:rsid w:val="003803BA"/>
    <w:rsid w:val="00381359"/>
    <w:rsid w:val="003C21E7"/>
    <w:rsid w:val="004115D2"/>
    <w:rsid w:val="0041702C"/>
    <w:rsid w:val="004A7C8D"/>
    <w:rsid w:val="004B6572"/>
    <w:rsid w:val="004C0EAD"/>
    <w:rsid w:val="004D1281"/>
    <w:rsid w:val="004D21DD"/>
    <w:rsid w:val="00511309"/>
    <w:rsid w:val="00517996"/>
    <w:rsid w:val="00536A5D"/>
    <w:rsid w:val="00563E94"/>
    <w:rsid w:val="00590016"/>
    <w:rsid w:val="005A4A10"/>
    <w:rsid w:val="005B06B5"/>
    <w:rsid w:val="00603A94"/>
    <w:rsid w:val="006377F9"/>
    <w:rsid w:val="00666FEF"/>
    <w:rsid w:val="006865DA"/>
    <w:rsid w:val="0069308F"/>
    <w:rsid w:val="006B5C2D"/>
    <w:rsid w:val="006E1D43"/>
    <w:rsid w:val="006E3CFC"/>
    <w:rsid w:val="006E3DE7"/>
    <w:rsid w:val="007038AC"/>
    <w:rsid w:val="00725DBB"/>
    <w:rsid w:val="00752F7A"/>
    <w:rsid w:val="00784DA8"/>
    <w:rsid w:val="00785277"/>
    <w:rsid w:val="007D1896"/>
    <w:rsid w:val="007D78C6"/>
    <w:rsid w:val="007E5CCD"/>
    <w:rsid w:val="007E7184"/>
    <w:rsid w:val="00802EEA"/>
    <w:rsid w:val="00810D2C"/>
    <w:rsid w:val="008572E1"/>
    <w:rsid w:val="00882BD4"/>
    <w:rsid w:val="008930D9"/>
    <w:rsid w:val="00894EF3"/>
    <w:rsid w:val="008B7065"/>
    <w:rsid w:val="009062ED"/>
    <w:rsid w:val="00934033"/>
    <w:rsid w:val="009514F5"/>
    <w:rsid w:val="00987BF2"/>
    <w:rsid w:val="00992A48"/>
    <w:rsid w:val="00A02076"/>
    <w:rsid w:val="00A02A9D"/>
    <w:rsid w:val="00A40A24"/>
    <w:rsid w:val="00A556C0"/>
    <w:rsid w:val="00A62C26"/>
    <w:rsid w:val="00A82919"/>
    <w:rsid w:val="00AA0650"/>
    <w:rsid w:val="00AB0614"/>
    <w:rsid w:val="00AD073D"/>
    <w:rsid w:val="00AD0ED9"/>
    <w:rsid w:val="00AD5B08"/>
    <w:rsid w:val="00B069AC"/>
    <w:rsid w:val="00B46222"/>
    <w:rsid w:val="00B724D8"/>
    <w:rsid w:val="00BF0399"/>
    <w:rsid w:val="00C204DC"/>
    <w:rsid w:val="00C27357"/>
    <w:rsid w:val="00C32A47"/>
    <w:rsid w:val="00C566C9"/>
    <w:rsid w:val="00CA4D18"/>
    <w:rsid w:val="00CB01EE"/>
    <w:rsid w:val="00CF2127"/>
    <w:rsid w:val="00CF50A5"/>
    <w:rsid w:val="00D03FD0"/>
    <w:rsid w:val="00D13A3E"/>
    <w:rsid w:val="00D342B1"/>
    <w:rsid w:val="00D44151"/>
    <w:rsid w:val="00D522AC"/>
    <w:rsid w:val="00DA5EE2"/>
    <w:rsid w:val="00DF026B"/>
    <w:rsid w:val="00E00465"/>
    <w:rsid w:val="00E12FF7"/>
    <w:rsid w:val="00E3691D"/>
    <w:rsid w:val="00E615E1"/>
    <w:rsid w:val="00EB7C0E"/>
    <w:rsid w:val="00ED0410"/>
    <w:rsid w:val="00ED370A"/>
    <w:rsid w:val="00F40196"/>
    <w:rsid w:val="00F96B4F"/>
    <w:rsid w:val="06112117"/>
    <w:rsid w:val="071935D9"/>
    <w:rsid w:val="0A36039E"/>
    <w:rsid w:val="0D7B27C5"/>
    <w:rsid w:val="0DD66C40"/>
    <w:rsid w:val="16C37EBD"/>
    <w:rsid w:val="25227A45"/>
    <w:rsid w:val="273B1202"/>
    <w:rsid w:val="2ACA2711"/>
    <w:rsid w:val="30C916BD"/>
    <w:rsid w:val="3298577B"/>
    <w:rsid w:val="376516ED"/>
    <w:rsid w:val="39E114C1"/>
    <w:rsid w:val="3D8B656B"/>
    <w:rsid w:val="405A5E8D"/>
    <w:rsid w:val="47A54027"/>
    <w:rsid w:val="498A2067"/>
    <w:rsid w:val="4A655B5A"/>
    <w:rsid w:val="4B992C19"/>
    <w:rsid w:val="50671F12"/>
    <w:rsid w:val="51486726"/>
    <w:rsid w:val="57C53B67"/>
    <w:rsid w:val="5C10379E"/>
    <w:rsid w:val="61F9485E"/>
    <w:rsid w:val="6D54588F"/>
    <w:rsid w:val="6F963925"/>
    <w:rsid w:val="717C314F"/>
    <w:rsid w:val="7217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D26D1B-2A7D-47AE-811B-E962364E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8572E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YU</dc:creator>
  <cp:lastModifiedBy>Lenovo</cp:lastModifiedBy>
  <cp:revision>13</cp:revision>
  <dcterms:created xsi:type="dcterms:W3CDTF">2023-04-11T09:21:00Z</dcterms:created>
  <dcterms:modified xsi:type="dcterms:W3CDTF">2023-04-11T10:00:00Z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E29914C1960A4D45BAF807630AF53317</vt:lpwstr>
  </property>
</Properties>
</file>