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仿宋" w:hAnsi="仿宋" w:eastAsia="仿宋"/>
          <w:color w:val="333333"/>
          <w:sz w:val="36"/>
          <w:szCs w:val="36"/>
        </w:rPr>
      </w:pPr>
      <w:bookmarkStart w:id="0" w:name="_GoBack"/>
      <w:bookmarkEnd w:id="0"/>
      <w:r>
        <w:rPr>
          <w:rFonts w:hint="eastAsia" w:ascii="仿宋" w:hAnsi="仿宋" w:eastAsia="仿宋"/>
          <w:color w:val="333333"/>
          <w:sz w:val="36"/>
          <w:szCs w:val="36"/>
        </w:rPr>
        <w:t>中国地质大学（北京）经济管理学院</w:t>
      </w:r>
    </w:p>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202</w:t>
      </w:r>
      <w:r>
        <w:rPr>
          <w:rFonts w:ascii="仿宋" w:hAnsi="仿宋" w:eastAsia="仿宋"/>
          <w:color w:val="333333"/>
          <w:sz w:val="36"/>
          <w:szCs w:val="36"/>
        </w:rPr>
        <w:t>4</w:t>
      </w:r>
      <w:r>
        <w:rPr>
          <w:rFonts w:hint="eastAsia" w:ascii="仿宋" w:hAnsi="仿宋" w:eastAsia="仿宋"/>
          <w:color w:val="333333"/>
          <w:sz w:val="36"/>
          <w:szCs w:val="36"/>
        </w:rPr>
        <w:t>年硕士研究生接收调剂公告</w:t>
      </w:r>
    </w:p>
    <w:p>
      <w:pPr>
        <w:widowControl/>
        <w:shd w:val="clear" w:color="auto" w:fill="FFFFFF"/>
        <w:spacing w:line="360" w:lineRule="atLeast"/>
        <w:ind w:firstLine="560" w:firstLineChars="200"/>
        <w:rPr>
          <w:rFonts w:ascii="仿宋" w:hAnsi="仿宋" w:eastAsia="仿宋"/>
          <w:color w:val="000000"/>
          <w:kern w:val="0"/>
          <w:sz w:val="28"/>
          <w:szCs w:val="28"/>
          <w:shd w:val="clear" w:color="auto" w:fill="FFFFFF"/>
        </w:rPr>
      </w:pPr>
      <w:r>
        <w:rPr>
          <w:rFonts w:hint="eastAsia" w:ascii="仿宋" w:hAnsi="仿宋" w:eastAsia="仿宋"/>
          <w:color w:val="000000"/>
          <w:kern w:val="0"/>
          <w:sz w:val="28"/>
          <w:szCs w:val="28"/>
          <w:shd w:val="clear" w:color="auto" w:fill="FFFFFF"/>
        </w:rPr>
        <w:t>根据教育部和北京市教育考试院相关文件要求，结合我院202</w:t>
      </w:r>
      <w:r>
        <w:rPr>
          <w:rFonts w:ascii="仿宋" w:hAnsi="仿宋" w:eastAsia="仿宋"/>
          <w:color w:val="000000"/>
          <w:kern w:val="0"/>
          <w:sz w:val="28"/>
          <w:szCs w:val="28"/>
          <w:shd w:val="clear" w:color="auto" w:fill="FFFFFF"/>
        </w:rPr>
        <w:t>4</w:t>
      </w:r>
      <w:r>
        <w:rPr>
          <w:rFonts w:hint="eastAsia" w:ascii="仿宋" w:hAnsi="仿宋" w:eastAsia="仿宋"/>
          <w:color w:val="000000"/>
          <w:kern w:val="0"/>
          <w:sz w:val="28"/>
          <w:szCs w:val="28"/>
          <w:shd w:val="clear" w:color="auto" w:fill="FFFFFF"/>
        </w:rPr>
        <w:t>年硕士研究生招生计划和一志愿上线情况，现公布202</w:t>
      </w:r>
      <w:r>
        <w:rPr>
          <w:rFonts w:ascii="仿宋" w:hAnsi="仿宋" w:eastAsia="仿宋"/>
          <w:color w:val="000000"/>
          <w:kern w:val="0"/>
          <w:sz w:val="28"/>
          <w:szCs w:val="28"/>
          <w:shd w:val="clear" w:color="auto" w:fill="FFFFFF"/>
        </w:rPr>
        <w:t>4</w:t>
      </w:r>
      <w:r>
        <w:rPr>
          <w:rFonts w:hint="eastAsia" w:ascii="仿宋" w:hAnsi="仿宋" w:eastAsia="仿宋"/>
          <w:color w:val="000000"/>
          <w:kern w:val="0"/>
          <w:sz w:val="28"/>
          <w:szCs w:val="28"/>
          <w:shd w:val="clear" w:color="auto" w:fill="FFFFFF"/>
        </w:rPr>
        <w:t>年硕士研究生拟调剂信息，欢迎有意向调剂我院的考生密切关注我校研究生招生网站和经济管理学院网站。</w:t>
      </w:r>
    </w:p>
    <w:p>
      <w:pPr>
        <w:widowControl/>
        <w:shd w:val="clear" w:color="auto" w:fill="FFFFFF"/>
        <w:spacing w:line="360" w:lineRule="atLeast"/>
        <w:rPr>
          <w:rFonts w:ascii="仿宋" w:hAnsi="仿宋" w:eastAsia="仿宋"/>
          <w:b/>
          <w:bCs/>
          <w:color w:val="000000"/>
          <w:kern w:val="0"/>
          <w:sz w:val="32"/>
          <w:szCs w:val="32"/>
        </w:rPr>
      </w:pPr>
      <w:r>
        <w:rPr>
          <w:rFonts w:hint="eastAsia" w:ascii="仿宋" w:hAnsi="仿宋" w:eastAsia="仿宋"/>
          <w:b/>
          <w:bCs/>
          <w:color w:val="000000"/>
          <w:kern w:val="0"/>
          <w:sz w:val="32"/>
          <w:szCs w:val="32"/>
        </w:rPr>
        <w:t>一、拟接收调剂专业、指标和分数线</w:t>
      </w:r>
    </w:p>
    <w:tbl>
      <w:tblPr>
        <w:tblStyle w:val="6"/>
        <w:tblW w:w="9294"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70"/>
        <w:gridCol w:w="921"/>
        <w:gridCol w:w="1142"/>
        <w:gridCol w:w="936"/>
        <w:gridCol w:w="1289"/>
        <w:gridCol w:w="1529"/>
        <w:gridCol w:w="1534"/>
        <w:gridCol w:w="7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170"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学习方式</w:t>
            </w:r>
          </w:p>
        </w:tc>
        <w:tc>
          <w:tcPr>
            <w:tcW w:w="921"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类型</w:t>
            </w:r>
          </w:p>
        </w:tc>
        <w:tc>
          <w:tcPr>
            <w:tcW w:w="1142" w:type="dxa"/>
            <w:vMerge w:val="restart"/>
            <w:shd w:val="clear" w:color="auto" w:fill="FFFFFF"/>
            <w:tcMar>
              <w:top w:w="0" w:type="dxa"/>
              <w:left w:w="108" w:type="dxa"/>
              <w:bottom w:w="0" w:type="dxa"/>
              <w:right w:w="108" w:type="dxa"/>
            </w:tcMar>
          </w:tcPr>
          <w:p>
            <w:pPr>
              <w:widowControl/>
              <w:wordWrap w:val="0"/>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接收调剂专业</w:t>
            </w:r>
          </w:p>
        </w:tc>
        <w:tc>
          <w:tcPr>
            <w:tcW w:w="936"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接收调剂方向</w:t>
            </w:r>
          </w:p>
        </w:tc>
        <w:tc>
          <w:tcPr>
            <w:tcW w:w="1289"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拟接收调剂指标</w:t>
            </w:r>
          </w:p>
        </w:tc>
        <w:tc>
          <w:tcPr>
            <w:tcW w:w="3836" w:type="dxa"/>
            <w:gridSpan w:val="3"/>
            <w:shd w:val="clear" w:color="auto" w:fill="FFFFFF"/>
            <w:tcMar>
              <w:top w:w="0" w:type="dxa"/>
              <w:left w:w="108" w:type="dxa"/>
              <w:bottom w:w="0" w:type="dxa"/>
              <w:right w:w="108" w:type="dxa"/>
            </w:tcMar>
          </w:tcPr>
          <w:p>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调剂分数线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3" w:hRule="atLeast"/>
        </w:trPr>
        <w:tc>
          <w:tcPr>
            <w:tcW w:w="1170" w:type="dxa"/>
            <w:vMerge w:val="continue"/>
            <w:shd w:val="clear" w:color="auto" w:fill="FFFFFF"/>
            <w:tcMar>
              <w:top w:w="0" w:type="dxa"/>
              <w:left w:w="108" w:type="dxa"/>
              <w:bottom w:w="0" w:type="dxa"/>
              <w:right w:w="108" w:type="dxa"/>
            </w:tcMar>
          </w:tcPr>
          <w:p>
            <w:pPr>
              <w:widowControl/>
              <w:spacing w:line="360" w:lineRule="atLeast"/>
            </w:pPr>
          </w:p>
        </w:tc>
        <w:tc>
          <w:tcPr>
            <w:tcW w:w="921" w:type="dxa"/>
            <w:vMerge w:val="continue"/>
            <w:shd w:val="clear" w:color="auto" w:fill="FFFFFF"/>
            <w:tcMar>
              <w:top w:w="0" w:type="dxa"/>
              <w:left w:w="108" w:type="dxa"/>
              <w:bottom w:w="0" w:type="dxa"/>
              <w:right w:w="108" w:type="dxa"/>
            </w:tcMar>
          </w:tcPr>
          <w:p>
            <w:pPr>
              <w:widowControl/>
              <w:spacing w:line="360" w:lineRule="atLeast"/>
            </w:pPr>
          </w:p>
        </w:tc>
        <w:tc>
          <w:tcPr>
            <w:tcW w:w="1142" w:type="dxa"/>
            <w:vMerge w:val="continue"/>
            <w:shd w:val="clear" w:color="auto" w:fill="FFFFFF"/>
            <w:tcMar>
              <w:top w:w="0" w:type="dxa"/>
              <w:left w:w="108" w:type="dxa"/>
              <w:bottom w:w="0" w:type="dxa"/>
              <w:right w:w="108" w:type="dxa"/>
            </w:tcMar>
          </w:tcPr>
          <w:p>
            <w:pPr>
              <w:widowControl/>
              <w:spacing w:line="360" w:lineRule="atLeast"/>
            </w:pPr>
          </w:p>
        </w:tc>
        <w:tc>
          <w:tcPr>
            <w:tcW w:w="936" w:type="dxa"/>
            <w:vMerge w:val="continue"/>
            <w:shd w:val="clear" w:color="auto" w:fill="FFFFFF"/>
            <w:tcMar>
              <w:top w:w="0" w:type="dxa"/>
              <w:left w:w="108" w:type="dxa"/>
              <w:bottom w:w="0" w:type="dxa"/>
              <w:right w:w="108" w:type="dxa"/>
            </w:tcMar>
          </w:tcPr>
          <w:p>
            <w:pPr>
              <w:widowControl/>
              <w:spacing w:line="360" w:lineRule="atLeast"/>
            </w:pPr>
          </w:p>
        </w:tc>
        <w:tc>
          <w:tcPr>
            <w:tcW w:w="1289" w:type="dxa"/>
            <w:vMerge w:val="continue"/>
            <w:shd w:val="clear" w:color="auto" w:fill="FFFFFF"/>
            <w:tcMar>
              <w:top w:w="0" w:type="dxa"/>
              <w:left w:w="108" w:type="dxa"/>
              <w:bottom w:w="0" w:type="dxa"/>
              <w:right w:w="108" w:type="dxa"/>
            </w:tcMar>
          </w:tcPr>
          <w:p>
            <w:pPr>
              <w:widowControl/>
              <w:spacing w:line="360" w:lineRule="atLeast"/>
            </w:pPr>
          </w:p>
        </w:tc>
        <w:tc>
          <w:tcPr>
            <w:tcW w:w="1529" w:type="dxa"/>
            <w:shd w:val="clear" w:color="auto" w:fill="FFFFFF"/>
            <w:tcMar>
              <w:top w:w="0" w:type="dxa"/>
              <w:left w:w="108" w:type="dxa"/>
              <w:bottom w:w="0" w:type="dxa"/>
              <w:right w:w="108" w:type="dxa"/>
            </w:tcMar>
          </w:tcPr>
          <w:p>
            <w:pPr>
              <w:widowControl/>
              <w:spacing w:line="360" w:lineRule="atLeast"/>
              <w:jc w:val="left"/>
              <w:rPr>
                <w:rFonts w:ascii="仿宋" w:hAnsi="仿宋" w:eastAsia="仿宋"/>
                <w:color w:val="333333"/>
                <w:kern w:val="0"/>
                <w:sz w:val="24"/>
                <w:szCs w:val="24"/>
              </w:rPr>
            </w:pPr>
            <w:r>
              <w:rPr>
                <w:rFonts w:hint="eastAsia" w:ascii="仿宋" w:hAnsi="仿宋" w:eastAsia="仿宋"/>
                <w:color w:val="333333"/>
                <w:kern w:val="0"/>
                <w:sz w:val="24"/>
                <w:szCs w:val="24"/>
              </w:rPr>
              <w:t>单科（满分=100分）</w:t>
            </w:r>
          </w:p>
        </w:tc>
        <w:tc>
          <w:tcPr>
            <w:tcW w:w="1534" w:type="dxa"/>
            <w:shd w:val="clear" w:color="auto" w:fill="FFFFFF"/>
            <w:tcMar>
              <w:top w:w="0" w:type="dxa"/>
              <w:left w:w="108" w:type="dxa"/>
              <w:bottom w:w="0" w:type="dxa"/>
              <w:right w:w="108" w:type="dxa"/>
            </w:tcMar>
          </w:tcPr>
          <w:p>
            <w:pPr>
              <w:widowControl/>
              <w:spacing w:line="360" w:lineRule="atLeast"/>
              <w:jc w:val="left"/>
              <w:rPr>
                <w:rFonts w:ascii="仿宋" w:hAnsi="仿宋" w:eastAsia="仿宋"/>
                <w:color w:val="333333"/>
                <w:kern w:val="0"/>
                <w:sz w:val="24"/>
                <w:szCs w:val="24"/>
              </w:rPr>
            </w:pPr>
            <w:r>
              <w:rPr>
                <w:rFonts w:hint="eastAsia" w:ascii="仿宋" w:hAnsi="仿宋" w:eastAsia="仿宋"/>
                <w:color w:val="333333"/>
                <w:kern w:val="0"/>
                <w:sz w:val="24"/>
                <w:szCs w:val="24"/>
              </w:rPr>
              <w:t>单科（满分&gt;100分）</w:t>
            </w:r>
          </w:p>
        </w:tc>
        <w:tc>
          <w:tcPr>
            <w:tcW w:w="773" w:type="dxa"/>
            <w:shd w:val="clear" w:color="auto" w:fill="FFFFFF"/>
            <w:tcMar>
              <w:top w:w="0" w:type="dxa"/>
              <w:left w:w="108" w:type="dxa"/>
              <w:bottom w:w="0" w:type="dxa"/>
              <w:right w:w="108" w:type="dxa"/>
            </w:tcMar>
          </w:tcPr>
          <w:p>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总分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非全日制</w:t>
            </w:r>
          </w:p>
        </w:tc>
        <w:tc>
          <w:tcPr>
            <w:tcW w:w="921"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专业型</w:t>
            </w:r>
          </w:p>
        </w:tc>
        <w:tc>
          <w:tcPr>
            <w:tcW w:w="1142"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工商管理（MBA）</w:t>
            </w:r>
          </w:p>
        </w:tc>
        <w:tc>
          <w:tcPr>
            <w:tcW w:w="936" w:type="dxa"/>
            <w:shd w:val="clear" w:color="auto" w:fill="auto"/>
            <w:tcMar>
              <w:top w:w="0" w:type="dxa"/>
              <w:left w:w="108" w:type="dxa"/>
              <w:bottom w:w="0" w:type="dxa"/>
              <w:right w:w="108" w:type="dxa"/>
            </w:tcMar>
          </w:tcPr>
          <w:p>
            <w:pPr>
              <w:jc w:val="center"/>
              <w:rPr>
                <w:rFonts w:ascii="仿宋" w:hAnsi="仿宋" w:eastAsia="仿宋"/>
                <w:color w:val="333333"/>
                <w:kern w:val="0"/>
                <w:sz w:val="24"/>
                <w:szCs w:val="24"/>
              </w:rPr>
            </w:pPr>
            <w:r>
              <w:rPr>
                <w:rFonts w:hint="eastAsia" w:ascii="仿宋" w:hAnsi="仿宋" w:eastAsia="仿宋"/>
                <w:color w:val="333333"/>
                <w:kern w:val="0"/>
                <w:sz w:val="24"/>
                <w:szCs w:val="24"/>
              </w:rPr>
              <w:t>01企业战略与运用管理</w:t>
            </w:r>
          </w:p>
          <w:p>
            <w:pPr>
              <w:jc w:val="center"/>
              <w:rPr>
                <w:rFonts w:ascii="仿宋" w:hAnsi="仿宋" w:eastAsia="仿宋"/>
                <w:color w:val="333333"/>
                <w:kern w:val="0"/>
                <w:sz w:val="24"/>
                <w:szCs w:val="24"/>
              </w:rPr>
            </w:pPr>
            <w:r>
              <w:rPr>
                <w:rFonts w:hint="eastAsia" w:ascii="仿宋" w:hAnsi="仿宋" w:eastAsia="仿宋"/>
                <w:color w:val="333333"/>
                <w:kern w:val="0"/>
                <w:sz w:val="24"/>
                <w:szCs w:val="24"/>
              </w:rPr>
              <w:t>02珠宝商务</w:t>
            </w:r>
          </w:p>
          <w:p>
            <w:pPr>
              <w:widowControl/>
              <w:wordWrap w:val="0"/>
              <w:spacing w:line="360" w:lineRule="atLeast"/>
              <w:rPr>
                <w:rFonts w:ascii="仿宋" w:hAnsi="仿宋" w:eastAsia="仿宋"/>
                <w:b/>
                <w:bCs/>
                <w:color w:val="C00000"/>
                <w:kern w:val="0"/>
                <w:szCs w:val="21"/>
              </w:rPr>
            </w:pPr>
            <w:r>
              <w:rPr>
                <w:rFonts w:hint="eastAsia" w:ascii="仿宋" w:hAnsi="仿宋" w:eastAsia="仿宋"/>
                <w:color w:val="333333"/>
                <w:kern w:val="0"/>
                <w:sz w:val="24"/>
                <w:szCs w:val="24"/>
              </w:rPr>
              <w:t>03资源型企业经营管理</w:t>
            </w:r>
          </w:p>
        </w:tc>
        <w:tc>
          <w:tcPr>
            <w:tcW w:w="1289" w:type="dxa"/>
            <w:shd w:val="clear" w:color="auto" w:fill="auto"/>
            <w:tcMar>
              <w:top w:w="0" w:type="dxa"/>
              <w:left w:w="108" w:type="dxa"/>
              <w:bottom w:w="0" w:type="dxa"/>
              <w:right w:w="108" w:type="dxa"/>
            </w:tcMa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20</w:t>
            </w:r>
          </w:p>
        </w:tc>
        <w:tc>
          <w:tcPr>
            <w:tcW w:w="1529"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32"/>
                <w:szCs w:val="32"/>
              </w:rPr>
            </w:pPr>
            <w:r>
              <w:rPr>
                <w:rFonts w:hint="eastAsia" w:ascii="仿宋" w:hAnsi="仿宋" w:eastAsia="仿宋"/>
                <w:color w:val="000000"/>
                <w:kern w:val="0"/>
                <w:sz w:val="32"/>
                <w:szCs w:val="32"/>
              </w:rPr>
              <w:t>39</w:t>
            </w:r>
          </w:p>
        </w:tc>
        <w:tc>
          <w:tcPr>
            <w:tcW w:w="1534"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32"/>
                <w:szCs w:val="32"/>
              </w:rPr>
            </w:pPr>
            <w:r>
              <w:rPr>
                <w:rFonts w:hint="eastAsia" w:ascii="仿宋" w:hAnsi="仿宋" w:eastAsia="仿宋"/>
                <w:color w:val="000000"/>
                <w:kern w:val="0"/>
                <w:sz w:val="32"/>
                <w:szCs w:val="32"/>
              </w:rPr>
              <w:t>78</w:t>
            </w:r>
          </w:p>
        </w:tc>
        <w:tc>
          <w:tcPr>
            <w:tcW w:w="773" w:type="dxa"/>
            <w:shd w:val="clear" w:color="auto" w:fill="auto"/>
            <w:tcMar>
              <w:top w:w="0" w:type="dxa"/>
              <w:left w:w="108" w:type="dxa"/>
              <w:bottom w:w="0" w:type="dxa"/>
              <w:right w:w="108" w:type="dxa"/>
            </w:tcMar>
          </w:tcPr>
          <w:p>
            <w:pPr>
              <w:widowControl/>
              <w:wordWrap w:val="0"/>
              <w:spacing w:line="360" w:lineRule="atLeast"/>
              <w:rPr>
                <w:rFonts w:ascii="仿宋" w:hAnsi="仿宋" w:eastAsia="仿宋"/>
                <w:b/>
                <w:bCs/>
                <w:color w:val="C00000"/>
                <w:kern w:val="0"/>
                <w:sz w:val="32"/>
                <w:szCs w:val="32"/>
              </w:rPr>
            </w:pPr>
            <w:r>
              <w:rPr>
                <w:rFonts w:hint="eastAsia" w:ascii="仿宋" w:hAnsi="仿宋" w:eastAsia="仿宋"/>
                <w:color w:val="000000"/>
                <w:kern w:val="0"/>
                <w:sz w:val="32"/>
                <w:szCs w:val="32"/>
              </w:rPr>
              <w:t>162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全日制</w:t>
            </w:r>
          </w:p>
        </w:tc>
        <w:tc>
          <w:tcPr>
            <w:tcW w:w="921"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专业型</w:t>
            </w:r>
          </w:p>
        </w:tc>
        <w:tc>
          <w:tcPr>
            <w:tcW w:w="1142"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法律(法学)</w:t>
            </w:r>
          </w:p>
        </w:tc>
        <w:tc>
          <w:tcPr>
            <w:tcW w:w="936" w:type="dxa"/>
            <w:shd w:val="clear" w:color="auto" w:fill="auto"/>
            <w:tcMar>
              <w:top w:w="0" w:type="dxa"/>
              <w:left w:w="108" w:type="dxa"/>
              <w:bottom w:w="0" w:type="dxa"/>
              <w:right w:w="108" w:type="dxa"/>
            </w:tcMar>
          </w:tcPr>
          <w:p>
            <w:pPr>
              <w:widowControl/>
              <w:spacing w:line="360" w:lineRule="atLeast"/>
              <w:rPr>
                <w:rFonts w:ascii="仿宋" w:hAnsi="仿宋" w:eastAsia="仿宋"/>
                <w:kern w:val="0"/>
                <w:szCs w:val="21"/>
              </w:rPr>
            </w:pPr>
            <w:r>
              <w:rPr>
                <w:rFonts w:hint="eastAsia" w:ascii="仿宋" w:hAnsi="仿宋" w:eastAsia="仿宋"/>
                <w:kern w:val="0"/>
                <w:szCs w:val="21"/>
              </w:rPr>
              <w:t>01民商法学</w:t>
            </w:r>
          </w:p>
          <w:p>
            <w:pPr>
              <w:widowControl/>
              <w:spacing w:line="360" w:lineRule="atLeast"/>
              <w:rPr>
                <w:rFonts w:ascii="仿宋" w:hAnsi="仿宋" w:eastAsia="仿宋"/>
                <w:kern w:val="0"/>
                <w:szCs w:val="21"/>
              </w:rPr>
            </w:pPr>
            <w:r>
              <w:rPr>
                <w:rFonts w:hint="eastAsia" w:ascii="仿宋" w:hAnsi="仿宋" w:eastAsia="仿宋"/>
                <w:kern w:val="0"/>
                <w:szCs w:val="21"/>
              </w:rPr>
              <w:t>02环境与资源保护法学</w:t>
            </w:r>
          </w:p>
          <w:p>
            <w:pPr>
              <w:widowControl/>
              <w:spacing w:line="360" w:lineRule="atLeast"/>
              <w:rPr>
                <w:rFonts w:ascii="仿宋" w:hAnsi="仿宋" w:eastAsia="仿宋"/>
                <w:kern w:val="0"/>
                <w:szCs w:val="21"/>
              </w:rPr>
            </w:pPr>
            <w:r>
              <w:rPr>
                <w:rFonts w:hint="eastAsia" w:ascii="仿宋" w:hAnsi="仿宋" w:eastAsia="仿宋"/>
                <w:kern w:val="0"/>
                <w:szCs w:val="21"/>
              </w:rPr>
              <w:t>03宪法学和行政法学</w:t>
            </w:r>
          </w:p>
          <w:p>
            <w:pPr>
              <w:widowControl/>
              <w:wordWrap w:val="0"/>
              <w:spacing w:line="360" w:lineRule="atLeast"/>
              <w:rPr>
                <w:rFonts w:ascii="仿宋" w:hAnsi="仿宋" w:eastAsia="仿宋"/>
                <w:kern w:val="0"/>
                <w:sz w:val="24"/>
                <w:szCs w:val="24"/>
              </w:rPr>
            </w:pPr>
            <w:r>
              <w:rPr>
                <w:rFonts w:hint="eastAsia" w:ascii="仿宋" w:hAnsi="仿宋" w:eastAsia="仿宋"/>
                <w:kern w:val="0"/>
                <w:szCs w:val="21"/>
              </w:rPr>
              <w:t>04刑法学</w:t>
            </w:r>
          </w:p>
        </w:tc>
        <w:tc>
          <w:tcPr>
            <w:tcW w:w="1289" w:type="dxa"/>
            <w:shd w:val="clear" w:color="auto" w:fill="auto"/>
            <w:tcMar>
              <w:top w:w="0" w:type="dxa"/>
              <w:left w:w="108" w:type="dxa"/>
              <w:bottom w:w="0" w:type="dxa"/>
              <w:right w:w="108" w:type="dxa"/>
            </w:tcMa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5</w:t>
            </w:r>
          </w:p>
        </w:tc>
        <w:tc>
          <w:tcPr>
            <w:tcW w:w="1529"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47</w:t>
            </w:r>
          </w:p>
        </w:tc>
        <w:tc>
          <w:tcPr>
            <w:tcW w:w="1534"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71</w:t>
            </w:r>
          </w:p>
        </w:tc>
        <w:tc>
          <w:tcPr>
            <w:tcW w:w="773"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331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非全日制</w:t>
            </w:r>
          </w:p>
        </w:tc>
        <w:tc>
          <w:tcPr>
            <w:tcW w:w="921"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专业型</w:t>
            </w:r>
          </w:p>
        </w:tc>
        <w:tc>
          <w:tcPr>
            <w:tcW w:w="1142"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24"/>
                <w:szCs w:val="24"/>
              </w:rPr>
            </w:pPr>
            <w:r>
              <w:rPr>
                <w:rFonts w:hint="eastAsia" w:ascii="仿宋" w:hAnsi="仿宋" w:eastAsia="仿宋"/>
                <w:kern w:val="0"/>
                <w:sz w:val="24"/>
                <w:szCs w:val="24"/>
              </w:rPr>
              <w:t>法律(法学)</w:t>
            </w:r>
          </w:p>
        </w:tc>
        <w:tc>
          <w:tcPr>
            <w:tcW w:w="936" w:type="dxa"/>
            <w:shd w:val="clear" w:color="auto" w:fill="auto"/>
            <w:tcMar>
              <w:top w:w="0" w:type="dxa"/>
              <w:left w:w="108" w:type="dxa"/>
              <w:bottom w:w="0" w:type="dxa"/>
              <w:right w:w="108" w:type="dxa"/>
            </w:tcMar>
          </w:tcPr>
          <w:p>
            <w:pPr>
              <w:widowControl/>
              <w:spacing w:line="360" w:lineRule="atLeast"/>
              <w:rPr>
                <w:rFonts w:ascii="仿宋" w:hAnsi="仿宋" w:eastAsia="仿宋"/>
                <w:kern w:val="0"/>
                <w:szCs w:val="21"/>
              </w:rPr>
            </w:pPr>
            <w:r>
              <w:rPr>
                <w:rFonts w:hint="eastAsia" w:ascii="仿宋" w:hAnsi="仿宋" w:eastAsia="仿宋"/>
                <w:kern w:val="0"/>
                <w:szCs w:val="21"/>
              </w:rPr>
              <w:t>01民商法学</w:t>
            </w:r>
          </w:p>
          <w:p>
            <w:pPr>
              <w:widowControl/>
              <w:spacing w:line="360" w:lineRule="atLeast"/>
              <w:rPr>
                <w:rFonts w:ascii="仿宋" w:hAnsi="仿宋" w:eastAsia="仿宋"/>
                <w:kern w:val="0"/>
                <w:szCs w:val="21"/>
              </w:rPr>
            </w:pPr>
            <w:r>
              <w:rPr>
                <w:rFonts w:hint="eastAsia" w:ascii="仿宋" w:hAnsi="仿宋" w:eastAsia="仿宋"/>
                <w:kern w:val="0"/>
                <w:szCs w:val="21"/>
              </w:rPr>
              <w:t>02环境与资源保护法学</w:t>
            </w:r>
          </w:p>
          <w:p>
            <w:pPr>
              <w:widowControl/>
              <w:spacing w:line="360" w:lineRule="atLeast"/>
              <w:rPr>
                <w:rFonts w:ascii="仿宋" w:hAnsi="仿宋" w:eastAsia="仿宋"/>
                <w:kern w:val="0"/>
                <w:szCs w:val="21"/>
              </w:rPr>
            </w:pPr>
            <w:r>
              <w:rPr>
                <w:rFonts w:hint="eastAsia" w:ascii="仿宋" w:hAnsi="仿宋" w:eastAsia="仿宋"/>
                <w:kern w:val="0"/>
                <w:szCs w:val="21"/>
              </w:rPr>
              <w:t>03宪法学和行政法学</w:t>
            </w:r>
          </w:p>
          <w:p>
            <w:pPr>
              <w:widowControl/>
              <w:wordWrap w:val="0"/>
              <w:spacing w:line="360" w:lineRule="atLeast"/>
              <w:rPr>
                <w:rFonts w:ascii="仿宋" w:hAnsi="仿宋" w:eastAsia="仿宋"/>
                <w:kern w:val="0"/>
                <w:sz w:val="24"/>
                <w:szCs w:val="24"/>
              </w:rPr>
            </w:pPr>
            <w:r>
              <w:rPr>
                <w:rFonts w:hint="eastAsia" w:ascii="仿宋" w:hAnsi="仿宋" w:eastAsia="仿宋"/>
                <w:kern w:val="0"/>
                <w:szCs w:val="21"/>
              </w:rPr>
              <w:t>04刑法学</w:t>
            </w:r>
          </w:p>
        </w:tc>
        <w:tc>
          <w:tcPr>
            <w:tcW w:w="1289" w:type="dxa"/>
            <w:shd w:val="clear" w:color="auto" w:fill="auto"/>
            <w:tcMar>
              <w:top w:w="0" w:type="dxa"/>
              <w:left w:w="108" w:type="dxa"/>
              <w:bottom w:w="0" w:type="dxa"/>
              <w:right w:w="108" w:type="dxa"/>
            </w:tcMa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5</w:t>
            </w:r>
          </w:p>
        </w:tc>
        <w:tc>
          <w:tcPr>
            <w:tcW w:w="1529"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47</w:t>
            </w:r>
          </w:p>
        </w:tc>
        <w:tc>
          <w:tcPr>
            <w:tcW w:w="1534"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71</w:t>
            </w:r>
          </w:p>
        </w:tc>
        <w:tc>
          <w:tcPr>
            <w:tcW w:w="773" w:type="dxa"/>
            <w:shd w:val="clear" w:color="auto" w:fill="auto"/>
            <w:tcMar>
              <w:top w:w="0" w:type="dxa"/>
              <w:left w:w="108" w:type="dxa"/>
              <w:bottom w:w="0" w:type="dxa"/>
              <w:right w:w="108" w:type="dxa"/>
            </w:tcMar>
          </w:tcPr>
          <w:p>
            <w:pPr>
              <w:widowControl/>
              <w:wordWrap w:val="0"/>
              <w:spacing w:line="360" w:lineRule="atLeast"/>
              <w:rPr>
                <w:rFonts w:ascii="仿宋" w:hAnsi="仿宋" w:eastAsia="仿宋"/>
                <w:kern w:val="0"/>
                <w:sz w:val="32"/>
                <w:szCs w:val="32"/>
              </w:rPr>
            </w:pPr>
            <w:r>
              <w:rPr>
                <w:rFonts w:hint="eastAsia" w:ascii="仿宋" w:hAnsi="仿宋" w:eastAsia="仿宋"/>
                <w:kern w:val="0"/>
                <w:sz w:val="32"/>
                <w:szCs w:val="32"/>
              </w:rPr>
              <w:t>331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非全日制</w:t>
            </w:r>
          </w:p>
        </w:tc>
        <w:tc>
          <w:tcPr>
            <w:tcW w:w="921"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专业型</w:t>
            </w:r>
          </w:p>
        </w:tc>
        <w:tc>
          <w:tcPr>
            <w:tcW w:w="1142"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会计</w:t>
            </w:r>
          </w:p>
        </w:tc>
        <w:tc>
          <w:tcPr>
            <w:tcW w:w="936" w:type="dxa"/>
            <w:shd w:val="clear" w:color="auto" w:fill="FFFFFF"/>
            <w:tcMar>
              <w:top w:w="0" w:type="dxa"/>
              <w:left w:w="108" w:type="dxa"/>
              <w:bottom w:w="0" w:type="dxa"/>
              <w:right w:w="108" w:type="dxa"/>
            </w:tcMar>
          </w:tcPr>
          <w:p>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01财务会计</w:t>
            </w:r>
          </w:p>
          <w:p>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02财务管理</w:t>
            </w:r>
          </w:p>
          <w:p>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03审计</w:t>
            </w:r>
          </w:p>
          <w:p>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Cs w:val="21"/>
              </w:rPr>
              <w:t>04资源核算与环境审计</w:t>
            </w:r>
          </w:p>
        </w:tc>
        <w:tc>
          <w:tcPr>
            <w:tcW w:w="1289" w:type="dxa"/>
            <w:shd w:val="clear" w:color="auto" w:fill="FFFFFF"/>
            <w:tcMar>
              <w:top w:w="0" w:type="dxa"/>
              <w:left w:w="108" w:type="dxa"/>
              <w:bottom w:w="0" w:type="dxa"/>
              <w:right w:w="108" w:type="dxa"/>
            </w:tcMa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20</w:t>
            </w:r>
          </w:p>
        </w:tc>
        <w:tc>
          <w:tcPr>
            <w:tcW w:w="1529"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52</w:t>
            </w:r>
          </w:p>
        </w:tc>
        <w:tc>
          <w:tcPr>
            <w:tcW w:w="1534"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104</w:t>
            </w:r>
          </w:p>
        </w:tc>
        <w:tc>
          <w:tcPr>
            <w:tcW w:w="773"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215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非全日制</w:t>
            </w:r>
          </w:p>
        </w:tc>
        <w:tc>
          <w:tcPr>
            <w:tcW w:w="921"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专业型</w:t>
            </w:r>
          </w:p>
        </w:tc>
        <w:tc>
          <w:tcPr>
            <w:tcW w:w="114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公共管理（MPA）</w:t>
            </w:r>
          </w:p>
        </w:tc>
        <w:tc>
          <w:tcPr>
            <w:tcW w:w="936" w:type="dxa"/>
            <w:shd w:val="clear" w:color="auto" w:fill="FFFFFF"/>
            <w:tcMar>
              <w:top w:w="0" w:type="dxa"/>
              <w:left w:w="108" w:type="dxa"/>
              <w:bottom w:w="0" w:type="dxa"/>
              <w:right w:w="108" w:type="dxa"/>
            </w:tcMar>
            <w:vAlign w:val="center"/>
          </w:tcPr>
          <w:p>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01政府管理与公共政策</w:t>
            </w:r>
          </w:p>
          <w:p>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02 公共部门人力资源管理</w:t>
            </w:r>
          </w:p>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03 自然资源管理</w:t>
            </w:r>
          </w:p>
        </w:tc>
        <w:tc>
          <w:tcPr>
            <w:tcW w:w="1289" w:type="dxa"/>
            <w:shd w:val="clear" w:color="auto" w:fill="FFFFFF"/>
            <w:tcMar>
              <w:top w:w="0" w:type="dxa"/>
              <w:left w:w="108" w:type="dxa"/>
              <w:bottom w:w="0" w:type="dxa"/>
              <w:right w:w="108" w:type="dxa"/>
            </w:tcMar>
            <w:vAlign w:val="cente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15</w:t>
            </w:r>
          </w:p>
        </w:tc>
        <w:tc>
          <w:tcPr>
            <w:tcW w:w="1529"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43</w:t>
            </w:r>
          </w:p>
        </w:tc>
        <w:tc>
          <w:tcPr>
            <w:tcW w:w="1534"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86</w:t>
            </w:r>
          </w:p>
        </w:tc>
        <w:tc>
          <w:tcPr>
            <w:tcW w:w="773"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173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非全日制</w:t>
            </w:r>
          </w:p>
        </w:tc>
        <w:tc>
          <w:tcPr>
            <w:tcW w:w="921"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专业型</w:t>
            </w:r>
          </w:p>
        </w:tc>
        <w:tc>
          <w:tcPr>
            <w:tcW w:w="114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金融硕士</w:t>
            </w:r>
          </w:p>
        </w:tc>
        <w:tc>
          <w:tcPr>
            <w:tcW w:w="936" w:type="dxa"/>
            <w:shd w:val="clear" w:color="auto" w:fill="FFFFFF"/>
            <w:tcMar>
              <w:top w:w="0" w:type="dxa"/>
              <w:left w:w="108" w:type="dxa"/>
              <w:bottom w:w="0" w:type="dxa"/>
              <w:right w:w="108" w:type="dxa"/>
            </w:tcMar>
            <w:vAlign w:val="center"/>
          </w:tcPr>
          <w:p>
            <w:pPr>
              <w:widowControl/>
              <w:wordWrap w:val="0"/>
              <w:spacing w:line="360" w:lineRule="atLeast"/>
              <w:jc w:val="left"/>
              <w:rPr>
                <w:rFonts w:ascii="仿宋" w:hAnsi="仿宋" w:eastAsia="仿宋"/>
                <w:color w:val="333333"/>
                <w:kern w:val="0"/>
                <w:szCs w:val="21"/>
              </w:rPr>
            </w:pPr>
            <w:r>
              <w:rPr>
                <w:rFonts w:hint="eastAsia" w:ascii="仿宋" w:hAnsi="仿宋" w:eastAsia="仿宋"/>
                <w:color w:val="333333"/>
                <w:kern w:val="0"/>
                <w:szCs w:val="21"/>
              </w:rPr>
              <w:t>01 绿色金融</w:t>
            </w:r>
          </w:p>
          <w:p>
            <w:pPr>
              <w:widowControl/>
              <w:wordWrap w:val="0"/>
              <w:spacing w:line="360" w:lineRule="atLeast"/>
              <w:jc w:val="left"/>
              <w:rPr>
                <w:rFonts w:ascii="仿宋" w:hAnsi="仿宋" w:eastAsia="仿宋"/>
                <w:color w:val="333333"/>
                <w:kern w:val="0"/>
                <w:szCs w:val="21"/>
              </w:rPr>
            </w:pPr>
            <w:r>
              <w:rPr>
                <w:rFonts w:hint="eastAsia" w:ascii="仿宋" w:hAnsi="仿宋" w:eastAsia="仿宋"/>
                <w:color w:val="333333"/>
                <w:kern w:val="0"/>
                <w:szCs w:val="21"/>
              </w:rPr>
              <w:t>02 公司金融</w:t>
            </w:r>
          </w:p>
          <w:p>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03 金融科技</w:t>
            </w:r>
          </w:p>
        </w:tc>
        <w:tc>
          <w:tcPr>
            <w:tcW w:w="1289" w:type="dxa"/>
            <w:shd w:val="clear" w:color="auto" w:fill="FFFFFF"/>
            <w:tcMar>
              <w:top w:w="0" w:type="dxa"/>
              <w:left w:w="108" w:type="dxa"/>
              <w:bottom w:w="0" w:type="dxa"/>
              <w:right w:w="108" w:type="dxa"/>
            </w:tcMar>
            <w:vAlign w:val="center"/>
          </w:tcPr>
          <w:p>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10</w:t>
            </w:r>
          </w:p>
        </w:tc>
        <w:tc>
          <w:tcPr>
            <w:tcW w:w="1529"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47</w:t>
            </w:r>
          </w:p>
        </w:tc>
        <w:tc>
          <w:tcPr>
            <w:tcW w:w="1534"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71</w:t>
            </w:r>
          </w:p>
        </w:tc>
        <w:tc>
          <w:tcPr>
            <w:tcW w:w="773" w:type="dxa"/>
            <w:shd w:val="clear" w:color="auto" w:fill="FFFFFF"/>
            <w:tcMar>
              <w:top w:w="0" w:type="dxa"/>
              <w:left w:w="108" w:type="dxa"/>
              <w:bottom w:w="0" w:type="dxa"/>
              <w:right w:w="108" w:type="dxa"/>
            </w:tcMar>
          </w:tcPr>
          <w:p>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338</w:t>
            </w:r>
          </w:p>
        </w:tc>
      </w:tr>
    </w:tbl>
    <w:p>
      <w:pPr>
        <w:widowControl/>
        <w:shd w:val="clear" w:color="auto" w:fill="FFFFFF"/>
        <w:spacing w:line="360" w:lineRule="atLeast"/>
        <w:rPr>
          <w:rFonts w:ascii="仿宋" w:hAnsi="仿宋" w:eastAsia="仿宋"/>
          <w:color w:val="333333"/>
          <w:kern w:val="0"/>
          <w:sz w:val="32"/>
          <w:szCs w:val="32"/>
        </w:rPr>
      </w:pPr>
    </w:p>
    <w:p>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二、调剂的条件和要求</w:t>
      </w:r>
    </w:p>
    <w:p>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第一志愿报考工商管理、公共管理、旅游管理、工程管理、会计、图书情报、审计专业学位硕士的考生，可申请调剂工商管理。但初试成绩须同时符合第一志愿和工商管理全国初试成绩基本要求的基础上，且满足硕士毕业满2年及2年以上，或大学本科毕业满3年及3年以上，或大专毕业满5年及5年以上。</w:t>
      </w:r>
    </w:p>
    <w:p>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2.会计（125300）第一志愿报考</w:t>
      </w:r>
      <w:r>
        <w:rPr>
          <w:rFonts w:hint="eastAsia" w:ascii="仿宋_GB2312" w:hAnsi="宋体" w:eastAsia="仿宋_GB2312"/>
          <w:color w:val="auto"/>
          <w:sz w:val="28"/>
          <w:szCs w:val="28"/>
          <w:shd w:val="clear" w:color="auto" w:fill="auto"/>
        </w:rPr>
        <w:t>1253会计,1251工商管理,1252公共管理,1254旅游管理,1255图书情报,1256工程管理,1257审计的考生。</w:t>
      </w:r>
      <w:r>
        <w:rPr>
          <w:rFonts w:hint="eastAsia" w:ascii="仿宋_GB2312" w:hAnsi="宋体" w:eastAsia="仿宋_GB2312"/>
          <w:sz w:val="28"/>
          <w:szCs w:val="28"/>
        </w:rPr>
        <w:t>且本科专业为会计学、审计学、财务管理的（含双学位）考生，或取得会计职业证书的考生。</w:t>
      </w:r>
    </w:p>
    <w:p>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3.法律硕士（法学）接收第一志愿报考法律（法学）专业学位硕士的考生，初试成绩符合法律（法学）全国初试成绩基本要求，本科毕业专业须为法学专业。</w:t>
      </w:r>
    </w:p>
    <w:p>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4.公共管理专业学位硕士（125200）接收第一志愿报考专业为公共管理（125200）、工商管理（125100）的考生。初试成绩须同时符合第一志愿和公共管理全国初试成绩基本要求。</w:t>
      </w:r>
    </w:p>
    <w:p>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金融硕士（025100）接收第一志愿报考专业为金融硕士（0251）、应用统计硕士（0252）、税务硕士（0253）、国际商务硕士（0254）、保险硕士（0255）、资产评估硕士（0256）的考生，可申请调剂。考生初试成绩须符合第一志愿全国初试成绩基本要求。</w:t>
      </w:r>
    </w:p>
    <w:p>
      <w:pPr>
        <w:tabs>
          <w:tab w:val="left" w:pos="0"/>
        </w:tabs>
        <w:spacing w:line="560" w:lineRule="exact"/>
        <w:ind w:firstLine="560" w:firstLineChars="200"/>
        <w:rPr>
          <w:rFonts w:ascii="仿宋_GB2312" w:hAnsi="宋体" w:eastAsia="仿宋_GB2312"/>
          <w:sz w:val="28"/>
          <w:szCs w:val="28"/>
        </w:rPr>
      </w:pPr>
    </w:p>
    <w:p>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三、调剂申请程序</w:t>
      </w:r>
    </w:p>
    <w:p>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1.报名方式</w:t>
      </w:r>
    </w:p>
    <w:p>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所有调剂考生均</w:t>
      </w:r>
      <w:r>
        <w:rPr>
          <w:rFonts w:hint="eastAsia" w:ascii="仿宋_GB2312" w:hAnsi="仿宋" w:eastAsia="仿宋_GB2312" w:cs="仿宋"/>
          <w:color w:val="000000"/>
          <w:spacing w:val="-4"/>
          <w:kern w:val="0"/>
          <w:sz w:val="28"/>
          <w:szCs w:val="28"/>
        </w:rPr>
        <w:t>须通过教育部“全国硕士生招生复试调剂服务系统” （http://yz.chsi.com.cn/yztj/</w:t>
      </w:r>
      <w:r>
        <w:rPr>
          <w:rFonts w:hint="eastAsia" w:ascii="仿宋" w:hAnsi="仿宋" w:eastAsia="仿宋"/>
          <w:color w:val="333333"/>
          <w:kern w:val="0"/>
          <w:sz w:val="28"/>
          <w:szCs w:val="28"/>
        </w:rPr>
        <w:t>进行。</w:t>
      </w:r>
    </w:p>
    <w:p>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2.报名时间</w:t>
      </w:r>
    </w:p>
    <w:p>
      <w:pPr>
        <w:widowControl/>
        <w:shd w:val="clear" w:color="auto" w:fill="FFFFFF"/>
        <w:spacing w:line="360" w:lineRule="atLeast"/>
        <w:ind w:firstLine="280" w:firstLineChars="100"/>
        <w:rPr>
          <w:rFonts w:hint="eastAsia" w:ascii="仿宋" w:hAnsi="仿宋" w:eastAsia="仿宋"/>
          <w:b/>
          <w:bCs/>
          <w:color w:val="333333"/>
          <w:kern w:val="0"/>
          <w:sz w:val="28"/>
          <w:szCs w:val="28"/>
        </w:rPr>
      </w:pPr>
      <w:r>
        <w:rPr>
          <w:rFonts w:hint="eastAsia" w:ascii="仿宋" w:hAnsi="仿宋" w:eastAsia="仿宋"/>
          <w:color w:val="333333"/>
          <w:kern w:val="0"/>
          <w:sz w:val="28"/>
          <w:szCs w:val="28"/>
        </w:rPr>
        <w:t>调剂正式开通时间为：4月8日</w:t>
      </w:r>
      <w:r>
        <w:rPr>
          <w:rFonts w:ascii="仿宋" w:hAnsi="仿宋" w:eastAsia="仿宋"/>
          <w:color w:val="333333"/>
          <w:kern w:val="0"/>
          <w:sz w:val="28"/>
          <w:szCs w:val="28"/>
        </w:rPr>
        <w:t>00</w:t>
      </w:r>
      <w:r>
        <w:rPr>
          <w:rFonts w:hint="eastAsia" w:ascii="仿宋" w:hAnsi="仿宋" w:eastAsia="仿宋"/>
          <w:color w:val="333333"/>
          <w:kern w:val="0"/>
          <w:sz w:val="28"/>
          <w:szCs w:val="28"/>
        </w:rPr>
        <w:t>：00</w:t>
      </w:r>
      <w:r>
        <w:rPr>
          <w:rFonts w:ascii="仿宋" w:hAnsi="仿宋" w:eastAsia="仿宋"/>
          <w:b/>
          <w:bCs/>
          <w:color w:val="000000"/>
          <w:kern w:val="0"/>
          <w:sz w:val="28"/>
          <w:szCs w:val="28"/>
        </w:rPr>
        <w:t xml:space="preserve"> </w:t>
      </w:r>
      <w:r>
        <w:rPr>
          <w:rFonts w:hint="eastAsia" w:ascii="仿宋" w:hAnsi="仿宋" w:eastAsia="仿宋"/>
          <w:b/>
          <w:bCs/>
          <w:color w:val="000000"/>
          <w:kern w:val="0"/>
          <w:sz w:val="28"/>
          <w:szCs w:val="28"/>
        </w:rPr>
        <w:t>至1</w:t>
      </w:r>
      <w:r>
        <w:rPr>
          <w:rFonts w:ascii="仿宋" w:hAnsi="仿宋" w:eastAsia="仿宋"/>
          <w:b/>
          <w:bCs/>
          <w:color w:val="000000"/>
          <w:kern w:val="0"/>
          <w:sz w:val="28"/>
          <w:szCs w:val="28"/>
        </w:rPr>
        <w:t>2</w:t>
      </w:r>
      <w:r>
        <w:rPr>
          <w:rFonts w:hint="eastAsia" w:ascii="仿宋" w:hAnsi="仿宋" w:eastAsia="仿宋"/>
          <w:b/>
          <w:bCs/>
          <w:color w:val="000000"/>
          <w:kern w:val="0"/>
          <w:sz w:val="28"/>
          <w:szCs w:val="28"/>
        </w:rPr>
        <w:t>:</w:t>
      </w:r>
      <w:r>
        <w:rPr>
          <w:rFonts w:ascii="仿宋" w:hAnsi="仿宋" w:eastAsia="仿宋"/>
          <w:b/>
          <w:bCs/>
          <w:color w:val="000000"/>
          <w:kern w:val="0"/>
          <w:sz w:val="28"/>
          <w:szCs w:val="28"/>
        </w:rPr>
        <w:t>00.</w:t>
      </w:r>
    </w:p>
    <w:p>
      <w:pPr>
        <w:widowControl/>
        <w:shd w:val="clear" w:color="auto" w:fill="FFFFFF"/>
        <w:spacing w:line="360" w:lineRule="atLeast"/>
        <w:rPr>
          <w:rFonts w:ascii="仿宋" w:hAnsi="仿宋" w:eastAsia="仿宋"/>
          <w:b/>
          <w:bCs/>
          <w:color w:val="000000"/>
          <w:kern w:val="0"/>
          <w:sz w:val="28"/>
          <w:szCs w:val="28"/>
        </w:rPr>
      </w:pPr>
      <w:r>
        <w:rPr>
          <w:rFonts w:hint="eastAsia" w:ascii="仿宋" w:hAnsi="仿宋" w:eastAsia="仿宋"/>
          <w:b/>
          <w:bCs/>
          <w:color w:val="000000"/>
          <w:kern w:val="0"/>
          <w:sz w:val="28"/>
          <w:szCs w:val="28"/>
        </w:rPr>
        <w:t>四、复试</w:t>
      </w:r>
    </w:p>
    <w:p>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符合我院调剂要求的考生请在规定时间内登录研招网调剂系统填报调剂志愿，经初审名单确定后，将通过调剂系统向考生发送复试通知，考生在系统中确认同意复试后按要求参加我院复试方可。复试名单在学院网上公示。</w:t>
      </w:r>
    </w:p>
    <w:p>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具体复试时间和要求另行通知。</w:t>
      </w:r>
    </w:p>
    <w:p>
      <w:pPr>
        <w:widowControl/>
        <w:shd w:val="clear" w:color="auto" w:fill="FFFFFF"/>
        <w:spacing w:line="360" w:lineRule="atLeast"/>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五、调剂录取工作办法</w:t>
      </w:r>
    </w:p>
    <w:p>
      <w:pPr>
        <w:widowControl/>
        <w:shd w:val="clear" w:color="auto" w:fill="FFFFFF"/>
        <w:spacing w:line="360" w:lineRule="atLeast"/>
        <w:ind w:firstLine="560" w:firstLineChars="200"/>
        <w:rPr>
          <w:rFonts w:ascii="仿宋" w:hAnsi="仿宋" w:eastAsia="仿宋"/>
          <w:b/>
          <w:bCs/>
          <w:color w:val="000000"/>
          <w:kern w:val="0"/>
          <w:sz w:val="28"/>
          <w:szCs w:val="28"/>
        </w:rPr>
      </w:pPr>
      <w:r>
        <w:rPr>
          <w:rFonts w:hint="eastAsia" w:ascii="仿宋" w:hAnsi="仿宋" w:eastAsia="仿宋"/>
          <w:color w:val="000000"/>
          <w:kern w:val="0"/>
          <w:sz w:val="28"/>
          <w:szCs w:val="28"/>
        </w:rPr>
        <w:t>参见《经济管理学院202</w:t>
      </w:r>
      <w:r>
        <w:rPr>
          <w:rFonts w:ascii="仿宋" w:hAnsi="仿宋" w:eastAsia="仿宋"/>
          <w:color w:val="000000"/>
          <w:kern w:val="0"/>
          <w:sz w:val="28"/>
          <w:szCs w:val="28"/>
        </w:rPr>
        <w:t>4</w:t>
      </w:r>
      <w:r>
        <w:rPr>
          <w:rFonts w:hint="eastAsia" w:ascii="仿宋" w:hAnsi="仿宋" w:eastAsia="仿宋"/>
          <w:color w:val="000000"/>
          <w:kern w:val="0"/>
          <w:sz w:val="28"/>
          <w:szCs w:val="28"/>
        </w:rPr>
        <w:t>年专业学位硕士研究生复试录取工作方案》</w:t>
      </w:r>
      <w:r>
        <w:rPr>
          <w:rFonts w:hint="eastAsia" w:ascii="仿宋" w:hAnsi="仿宋" w:eastAsia="仿宋"/>
          <w:color w:val="333333"/>
          <w:kern w:val="0"/>
          <w:sz w:val="28"/>
          <w:szCs w:val="28"/>
        </w:rPr>
        <w:t>（见附件）</w:t>
      </w:r>
      <w:r>
        <w:rPr>
          <w:rFonts w:hint="eastAsia" w:ascii="仿宋" w:hAnsi="仿宋" w:eastAsia="仿宋"/>
          <w:color w:val="000000"/>
          <w:kern w:val="0"/>
          <w:sz w:val="28"/>
          <w:szCs w:val="28"/>
        </w:rPr>
        <w:t>。</w:t>
      </w:r>
    </w:p>
    <w:p>
      <w:pPr>
        <w:widowControl/>
        <w:spacing w:line="276" w:lineRule="auto"/>
        <w:ind w:firstLine="560" w:firstLineChars="200"/>
        <w:jc w:val="left"/>
        <w:rPr>
          <w:rFonts w:ascii="仿宋" w:hAnsi="仿宋" w:eastAsia="仿宋"/>
          <w:color w:val="333333"/>
          <w:kern w:val="0"/>
          <w:sz w:val="28"/>
          <w:szCs w:val="28"/>
        </w:rPr>
      </w:pPr>
      <w:r>
        <w:rPr>
          <w:rFonts w:hint="eastAsia" w:ascii="仿宋" w:hAnsi="仿宋" w:eastAsia="仿宋"/>
          <w:color w:val="333333"/>
          <w:kern w:val="0"/>
          <w:sz w:val="28"/>
          <w:szCs w:val="28"/>
        </w:rPr>
        <w:t>并请及时关注中国地质大学（北京）研究生院招生网站和经济管理学院网站的相关信息。</w:t>
      </w:r>
    </w:p>
    <w:p>
      <w:pPr>
        <w:widowControl/>
        <w:shd w:val="clear" w:color="auto" w:fill="FFFFFF"/>
        <w:spacing w:line="360" w:lineRule="atLeast"/>
        <w:ind w:firstLine="560" w:firstLineChars="200"/>
        <w:rPr>
          <w:rFonts w:ascii="仿宋" w:hAnsi="仿宋" w:eastAsia="仿宋"/>
          <w:color w:val="333333"/>
          <w:kern w:val="0"/>
          <w:sz w:val="28"/>
          <w:szCs w:val="28"/>
        </w:rPr>
      </w:pPr>
    </w:p>
    <w:p>
      <w:pPr>
        <w:widowControl/>
        <w:shd w:val="clear" w:color="auto" w:fill="FFFFFF"/>
        <w:spacing w:line="360" w:lineRule="atLeast"/>
        <w:ind w:firstLine="4480" w:firstLineChars="1600"/>
        <w:rPr>
          <w:rFonts w:ascii="仿宋" w:hAnsi="仿宋" w:eastAsia="仿宋"/>
          <w:color w:val="333333"/>
          <w:kern w:val="0"/>
          <w:sz w:val="28"/>
          <w:szCs w:val="28"/>
        </w:rPr>
      </w:pPr>
      <w:r>
        <w:rPr>
          <w:rFonts w:hint="eastAsia" w:ascii="仿宋" w:hAnsi="仿宋" w:eastAsia="仿宋"/>
          <w:color w:val="333333"/>
          <w:kern w:val="0"/>
          <w:sz w:val="28"/>
          <w:szCs w:val="28"/>
        </w:rPr>
        <w:t>中国地质大学（北京）经济管理</w:t>
      </w:r>
      <w:r>
        <w:rPr>
          <w:rFonts w:hint="eastAsia" w:ascii="仿宋" w:hAnsi="仿宋" w:eastAsia="仿宋"/>
          <w:color w:val="000000"/>
          <w:kern w:val="0"/>
          <w:sz w:val="28"/>
          <w:szCs w:val="28"/>
        </w:rPr>
        <w:t>学院</w:t>
      </w:r>
    </w:p>
    <w:p>
      <w:pPr>
        <w:widowControl/>
        <w:shd w:val="clear" w:color="auto" w:fill="FFFFFF"/>
        <w:spacing w:line="360" w:lineRule="atLeast"/>
        <w:ind w:firstLine="5600" w:firstLineChars="2000"/>
        <w:rPr>
          <w:rFonts w:ascii="仿宋" w:hAnsi="仿宋" w:eastAsia="仿宋"/>
          <w:color w:val="333333"/>
          <w:kern w:val="0"/>
          <w:sz w:val="28"/>
          <w:szCs w:val="28"/>
        </w:rPr>
      </w:pPr>
      <w:r>
        <w:rPr>
          <w:rFonts w:hint="eastAsia" w:ascii="仿宋" w:hAnsi="仿宋" w:eastAsia="仿宋"/>
          <w:color w:val="000000"/>
          <w:kern w:val="0"/>
          <w:sz w:val="28"/>
          <w:szCs w:val="28"/>
        </w:rPr>
        <w:t>202</w:t>
      </w:r>
      <w:r>
        <w:rPr>
          <w:rFonts w:ascii="仿宋" w:hAnsi="仿宋" w:eastAsia="仿宋"/>
          <w:color w:val="000000"/>
          <w:kern w:val="0"/>
          <w:sz w:val="28"/>
          <w:szCs w:val="28"/>
        </w:rPr>
        <w:t>4</w:t>
      </w:r>
      <w:r>
        <w:rPr>
          <w:rFonts w:hint="eastAsia" w:ascii="仿宋" w:hAnsi="仿宋" w:eastAsia="仿宋"/>
          <w:color w:val="000000"/>
          <w:kern w:val="0"/>
          <w:sz w:val="28"/>
          <w:szCs w:val="28"/>
        </w:rPr>
        <w:t>年3月</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日</w:t>
      </w:r>
    </w:p>
    <w:sectPr>
      <w:pgSz w:w="11906" w:h="16838"/>
      <w:pgMar w:top="851"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zMxNTFjNzVlOTQxNjEwZDgxNTcyOGJiZWZlOTcifQ=="/>
  </w:docVars>
  <w:rsids>
    <w:rsidRoot w:val="005702BD"/>
    <w:rsid w:val="000C7F69"/>
    <w:rsid w:val="00361C96"/>
    <w:rsid w:val="00387DC8"/>
    <w:rsid w:val="0051663F"/>
    <w:rsid w:val="005702BD"/>
    <w:rsid w:val="00846F51"/>
    <w:rsid w:val="00AC3377"/>
    <w:rsid w:val="00D94EE8"/>
    <w:rsid w:val="1A5225DD"/>
    <w:rsid w:val="30E85A47"/>
    <w:rsid w:val="3635686E"/>
    <w:rsid w:val="3B596BFD"/>
    <w:rsid w:val="499A5BE1"/>
    <w:rsid w:val="66DB3141"/>
    <w:rsid w:val="67511948"/>
    <w:rsid w:val="6B8F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0"/>
    <w:autoRedefine/>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8">
    <w:name w:val="Strong"/>
    <w:basedOn w:val="7"/>
    <w:autoRedefine/>
    <w:qFormat/>
    <w:uiPriority w:val="22"/>
    <w:rPr>
      <w:b/>
      <w:bCs/>
    </w:rPr>
  </w:style>
  <w:style w:type="character" w:styleId="9">
    <w:name w:val="Hyperlink"/>
    <w:basedOn w:val="7"/>
    <w:qFormat/>
    <w:uiPriority w:val="99"/>
    <w:rPr>
      <w:color w:val="0563C1"/>
      <w:u w:val="single"/>
    </w:rPr>
  </w:style>
  <w:style w:type="character" w:customStyle="1" w:styleId="10">
    <w:name w:val="标题 1 字符"/>
    <w:basedOn w:val="7"/>
    <w:link w:val="2"/>
    <w:autoRedefine/>
    <w:qFormat/>
    <w:uiPriority w:val="9"/>
    <w:rPr>
      <w:rFonts w:ascii="宋体" w:hAnsi="宋体" w:eastAsia="宋体" w:cs="宋体"/>
      <w:b/>
      <w:bCs/>
      <w:kern w:val="36"/>
      <w:sz w:val="48"/>
      <w:szCs w:val="48"/>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未处理的提及1"/>
    <w:basedOn w:val="7"/>
    <w:autoRedefine/>
    <w:qFormat/>
    <w:uiPriority w:val="99"/>
    <w:rPr>
      <w:color w:val="605E5C"/>
      <w:shd w:val="clear" w:color="auto" w:fill="E1DFDD"/>
    </w:rPr>
  </w:style>
  <w:style w:type="paragraph" w:customStyle="1" w:styleId="15">
    <w:name w:val="Char"/>
    <w:basedOn w:val="1"/>
    <w:autoRedefine/>
    <w:qFormat/>
    <w:uiPriority w:val="0"/>
    <w:pPr>
      <w:widowControl/>
      <w:ind w:firstLine="420" w:firstLineChars="200"/>
      <w:jc w:val="left"/>
    </w:pPr>
    <w:rPr>
      <w:rFonts w:ascii="Times New Roman" w:hAnsi="宋体" w:eastAsia="宋体" w:cs="Times New Roman"/>
      <w:color w:val="000000"/>
      <w:szCs w:val="24"/>
      <w:lang w:bidi="he-I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1329</Characters>
  <Lines>11</Lines>
  <Paragraphs>3</Paragraphs>
  <TotalTime>35</TotalTime>
  <ScaleCrop>false</ScaleCrop>
  <LinksUpToDate>false</LinksUpToDate>
  <CharactersWithSpaces>1558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2024-03-28T09:41:00Z</dcterms:created>
  <dc:creator>Yang YU</dc:creator>
  <cp:lastModifiedBy>Administrator</cp:lastModifiedBy>
  <dcterms:modified xsi:type="dcterms:W3CDTF">2024-03-30T02:15:40Z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3DE942A19934471FB6A6283C4E4B611F_13</vt:lpwstr>
  </property>
</Properties>
</file>