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9922C">
      <w:pPr>
        <w:pageBreakBefore w:val="0"/>
        <w:kinsoku/>
        <w:wordWrap/>
        <w:overflowPunct/>
        <w:topLinePunct w:val="0"/>
        <w:autoSpaceDE/>
        <w:autoSpaceDN/>
        <w:bidi w:val="0"/>
        <w:spacing w:line="360" w:lineRule="auto"/>
        <w:ind w:firstLine="0" w:firstLineChars="0"/>
        <w:jc w:val="left"/>
        <w:rPr>
          <w:rFonts w:ascii="仿宋" w:hAnsi="仿宋" w:cs="仿宋"/>
          <w:b/>
          <w:bCs/>
          <w:i w:val="0"/>
          <w:iCs w:val="0"/>
          <w:szCs w:val="40"/>
          <w:u w:val="none"/>
        </w:rPr>
      </w:pPr>
      <w:r>
        <w:rPr>
          <w:rFonts w:hint="eastAsia" w:ascii="仿宋" w:hAnsi="仿宋" w:cs="仿宋"/>
          <w:b/>
          <w:bCs/>
          <w:i w:val="0"/>
          <w:iCs w:val="0"/>
          <w:szCs w:val="40"/>
          <w:u w:val="none"/>
        </w:rPr>
        <w:t>附件</w:t>
      </w:r>
      <w:r>
        <w:rPr>
          <w:rFonts w:hint="eastAsia" w:ascii="仿宋" w:hAnsi="仿宋" w:cs="仿宋"/>
          <w:b/>
          <w:bCs/>
          <w:i w:val="0"/>
          <w:iCs w:val="0"/>
          <w:szCs w:val="40"/>
          <w:u w:val="none"/>
          <w:lang w:val="en-US" w:eastAsia="zh-CN"/>
        </w:rPr>
        <w:t>3</w:t>
      </w:r>
      <w:r>
        <w:rPr>
          <w:rFonts w:hint="eastAsia" w:ascii="仿宋" w:hAnsi="仿宋" w:cs="仿宋"/>
          <w:b/>
          <w:bCs/>
          <w:i w:val="0"/>
          <w:iCs w:val="0"/>
          <w:szCs w:val="40"/>
          <w:u w:val="none"/>
        </w:rPr>
        <w:t>：中国地质大学（北京）就业创业工作考评体系</w:t>
      </w:r>
    </w:p>
    <w:tbl>
      <w:tblPr>
        <w:tblStyle w:val="2"/>
        <w:tblW w:w="5089" w:type="pct"/>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5"/>
        <w:gridCol w:w="1194"/>
        <w:gridCol w:w="529"/>
        <w:gridCol w:w="6066"/>
      </w:tblGrid>
      <w:tr w14:paraId="6745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blHeader/>
        </w:trPr>
        <w:tc>
          <w:tcPr>
            <w:tcW w:w="510" w:type="pct"/>
            <w:tcBorders>
              <w:tl2br w:val="nil"/>
              <w:tr2bl w:val="nil"/>
            </w:tcBorders>
            <w:shd w:val="clear" w:color="auto" w:fill="auto"/>
            <w:vAlign w:val="center"/>
          </w:tcPr>
          <w:p w14:paraId="6C89C7BC">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Style w:val="4"/>
                <w:rFonts w:hint="default" w:ascii="仿宋" w:hAnsi="仿宋" w:eastAsia="仿宋" w:cs="仿宋"/>
                <w:i w:val="0"/>
                <w:iCs w:val="0"/>
                <w:color w:val="auto"/>
                <w:u w:val="none"/>
                <w:lang w:bidi="ar"/>
              </w:rPr>
            </w:pPr>
            <w:r>
              <w:rPr>
                <w:rStyle w:val="4"/>
                <w:rFonts w:hint="default" w:ascii="仿宋" w:hAnsi="仿宋" w:eastAsia="仿宋" w:cs="仿宋"/>
                <w:i w:val="0"/>
                <w:iCs w:val="0"/>
                <w:color w:val="auto"/>
                <w:u w:val="none"/>
                <w:lang w:bidi="ar"/>
              </w:rPr>
              <w:t>一级</w:t>
            </w:r>
          </w:p>
          <w:p w14:paraId="3793E15A">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Style w:val="4"/>
                <w:rFonts w:hint="default" w:ascii="仿宋" w:hAnsi="仿宋" w:eastAsia="仿宋" w:cs="仿宋"/>
                <w:i w:val="0"/>
                <w:iCs w:val="0"/>
                <w:color w:val="auto"/>
                <w:u w:val="none"/>
                <w:lang w:bidi="ar"/>
              </w:rPr>
            </w:pPr>
            <w:r>
              <w:rPr>
                <w:rStyle w:val="4"/>
                <w:rFonts w:hint="default" w:ascii="仿宋" w:hAnsi="仿宋" w:eastAsia="仿宋" w:cs="仿宋"/>
                <w:i w:val="0"/>
                <w:iCs w:val="0"/>
                <w:color w:val="auto"/>
                <w:u w:val="none"/>
                <w:lang w:bidi="ar"/>
              </w:rPr>
              <w:t>指标</w:t>
            </w:r>
          </w:p>
        </w:tc>
        <w:tc>
          <w:tcPr>
            <w:tcW w:w="688" w:type="pct"/>
            <w:tcBorders>
              <w:tl2br w:val="nil"/>
              <w:tr2bl w:val="nil"/>
            </w:tcBorders>
            <w:shd w:val="clear" w:color="auto" w:fill="auto"/>
            <w:vAlign w:val="center"/>
          </w:tcPr>
          <w:p w14:paraId="529498C2">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Style w:val="4"/>
                <w:rFonts w:hint="default" w:ascii="仿宋" w:hAnsi="仿宋" w:eastAsia="仿宋" w:cs="仿宋"/>
                <w:i w:val="0"/>
                <w:iCs w:val="0"/>
                <w:color w:val="auto"/>
                <w:u w:val="none"/>
                <w:lang w:bidi="ar"/>
              </w:rPr>
            </w:pPr>
            <w:r>
              <w:rPr>
                <w:rStyle w:val="4"/>
                <w:rFonts w:hint="default" w:ascii="仿宋" w:hAnsi="仿宋" w:eastAsia="仿宋" w:cs="仿宋"/>
                <w:i w:val="0"/>
                <w:iCs w:val="0"/>
                <w:color w:val="auto"/>
                <w:u w:val="none"/>
                <w:lang w:bidi="ar"/>
              </w:rPr>
              <w:t>二级</w:t>
            </w:r>
          </w:p>
          <w:p w14:paraId="4279BEA3">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Style w:val="4"/>
                <w:rFonts w:hint="default" w:ascii="仿宋" w:hAnsi="仿宋" w:eastAsia="仿宋" w:cs="仿宋"/>
                <w:i w:val="0"/>
                <w:iCs w:val="0"/>
                <w:color w:val="auto"/>
                <w:u w:val="none"/>
                <w:lang w:bidi="ar"/>
              </w:rPr>
            </w:pPr>
            <w:r>
              <w:rPr>
                <w:rStyle w:val="4"/>
                <w:rFonts w:hint="default" w:ascii="仿宋" w:hAnsi="仿宋" w:eastAsia="仿宋" w:cs="仿宋"/>
                <w:i w:val="0"/>
                <w:iCs w:val="0"/>
                <w:color w:val="auto"/>
                <w:u w:val="none"/>
                <w:lang w:bidi="ar"/>
              </w:rPr>
              <w:t>指标</w:t>
            </w:r>
          </w:p>
        </w:tc>
        <w:tc>
          <w:tcPr>
            <w:tcW w:w="304" w:type="pct"/>
            <w:tcBorders>
              <w:tl2br w:val="nil"/>
              <w:tr2bl w:val="nil"/>
            </w:tcBorders>
            <w:shd w:val="clear" w:color="auto" w:fill="auto"/>
            <w:vAlign w:val="center"/>
          </w:tcPr>
          <w:p w14:paraId="2EC36928">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ascii="仿宋" w:hAnsi="仿宋" w:cs="仿宋"/>
                <w:b/>
                <w:bCs/>
                <w:i w:val="0"/>
                <w:iCs w:val="0"/>
                <w:sz w:val="24"/>
                <w:u w:val="none"/>
              </w:rPr>
            </w:pPr>
            <w:r>
              <w:rPr>
                <w:rStyle w:val="4"/>
                <w:rFonts w:hint="default" w:ascii="仿宋" w:hAnsi="仿宋" w:eastAsia="仿宋" w:cs="仿宋"/>
                <w:i w:val="0"/>
                <w:iCs w:val="0"/>
                <w:color w:val="auto"/>
                <w:u w:val="none"/>
                <w:lang w:bidi="ar"/>
              </w:rPr>
              <w:t>分值</w:t>
            </w:r>
          </w:p>
        </w:tc>
        <w:tc>
          <w:tcPr>
            <w:tcW w:w="3496" w:type="pct"/>
            <w:tcBorders>
              <w:tl2br w:val="nil"/>
              <w:tr2bl w:val="nil"/>
            </w:tcBorders>
            <w:shd w:val="clear" w:color="auto" w:fill="auto"/>
            <w:vAlign w:val="center"/>
          </w:tcPr>
          <w:p w14:paraId="29F56324">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Style w:val="4"/>
                <w:rFonts w:hint="default" w:ascii="仿宋" w:hAnsi="仿宋" w:eastAsia="仿宋" w:cs="仿宋"/>
                <w:i w:val="0"/>
                <w:iCs w:val="0"/>
                <w:color w:val="auto"/>
                <w:u w:val="none"/>
                <w:lang w:bidi="ar"/>
              </w:rPr>
            </w:pPr>
            <w:r>
              <w:rPr>
                <w:rStyle w:val="4"/>
                <w:rFonts w:hint="default" w:ascii="仿宋" w:hAnsi="仿宋" w:eastAsia="仿宋" w:cs="仿宋"/>
                <w:i w:val="0"/>
                <w:iCs w:val="0"/>
                <w:color w:val="auto"/>
                <w:u w:val="none"/>
                <w:lang w:bidi="ar"/>
              </w:rPr>
              <w:t>标准</w:t>
            </w:r>
          </w:p>
        </w:tc>
      </w:tr>
      <w:tr w14:paraId="2F18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10" w:type="pct"/>
            <w:vMerge w:val="restart"/>
            <w:shd w:val="clear" w:color="auto" w:fill="auto"/>
            <w:vAlign w:val="center"/>
          </w:tcPr>
          <w:p w14:paraId="08DA3381">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毕业去向落实情况</w:t>
            </w:r>
          </w:p>
        </w:tc>
        <w:tc>
          <w:tcPr>
            <w:tcW w:w="688" w:type="pct"/>
            <w:vMerge w:val="restart"/>
            <w:shd w:val="clear" w:color="auto" w:fill="auto"/>
            <w:vAlign w:val="center"/>
          </w:tcPr>
          <w:p w14:paraId="05DBEF9E">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r>
              <w:rPr>
                <w:rFonts w:hint="eastAsia" w:ascii="仿宋" w:hAnsi="仿宋" w:cs="仿宋"/>
                <w:i w:val="0"/>
                <w:iCs w:val="0"/>
                <w:sz w:val="24"/>
                <w:u w:val="none"/>
              </w:rPr>
              <w:t>就业目标完成情况</w:t>
            </w:r>
          </w:p>
          <w:p w14:paraId="07AD0D03">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r>
              <w:rPr>
                <w:rFonts w:hint="eastAsia" w:ascii="仿宋" w:hAnsi="仿宋" w:cs="仿宋"/>
                <w:i w:val="0"/>
                <w:iCs w:val="0"/>
                <w:sz w:val="24"/>
                <w:u w:val="none"/>
              </w:rPr>
              <w:t>（统计截点：8月31日）</w:t>
            </w:r>
          </w:p>
        </w:tc>
        <w:tc>
          <w:tcPr>
            <w:tcW w:w="304" w:type="pct"/>
            <w:shd w:val="clear" w:color="auto" w:fill="auto"/>
            <w:vAlign w:val="center"/>
          </w:tcPr>
          <w:p w14:paraId="7AA4A5AF">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10</w:t>
            </w:r>
          </w:p>
        </w:tc>
        <w:tc>
          <w:tcPr>
            <w:tcW w:w="3496" w:type="pct"/>
            <w:shd w:val="clear" w:color="auto" w:fill="auto"/>
            <w:vAlign w:val="center"/>
          </w:tcPr>
          <w:p w14:paraId="78D01593">
            <w:pPr>
              <w:keepNext w:val="0"/>
              <w:keepLines w:val="0"/>
              <w:pageBreakBefore w:val="0"/>
              <w:kinsoku/>
              <w:wordWrap/>
              <w:overflowPunct/>
              <w:topLinePunct w:val="0"/>
              <w:autoSpaceDE/>
              <w:autoSpaceDN/>
              <w:bidi w:val="0"/>
              <w:adjustRightInd w:val="0"/>
              <w:snapToGrid/>
              <w:spacing w:line="300" w:lineRule="exact"/>
              <w:ind w:firstLine="0" w:firstLineChars="0"/>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本科毕业生、毕业生研究生一次毕业去向落实率均高于90%。（各5分，未达到90%不得分。）</w:t>
            </w:r>
          </w:p>
        </w:tc>
      </w:tr>
      <w:tr w14:paraId="6486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586002B8">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cs="仿宋"/>
                <w:i w:val="0"/>
                <w:iCs w:val="0"/>
                <w:sz w:val="24"/>
                <w:u w:val="none"/>
              </w:rPr>
            </w:pPr>
          </w:p>
        </w:tc>
        <w:tc>
          <w:tcPr>
            <w:tcW w:w="688" w:type="pct"/>
            <w:vMerge w:val="continue"/>
            <w:shd w:val="clear" w:color="auto" w:fill="auto"/>
            <w:vAlign w:val="center"/>
          </w:tcPr>
          <w:p w14:paraId="247935CA">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cs="仿宋"/>
                <w:i w:val="0"/>
                <w:iCs w:val="0"/>
                <w:sz w:val="24"/>
                <w:u w:val="none"/>
              </w:rPr>
            </w:pPr>
          </w:p>
        </w:tc>
        <w:tc>
          <w:tcPr>
            <w:tcW w:w="304" w:type="pct"/>
            <w:shd w:val="clear" w:color="auto" w:fill="auto"/>
            <w:vAlign w:val="center"/>
          </w:tcPr>
          <w:p w14:paraId="55515BB2">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kern w:val="2"/>
                <w:sz w:val="24"/>
                <w:szCs w:val="24"/>
                <w:u w:val="none"/>
                <w:lang w:val="en-US" w:eastAsia="zh-CN" w:bidi="ar-SA"/>
              </w:rPr>
            </w:pPr>
            <w:r>
              <w:rPr>
                <w:rFonts w:hint="eastAsia" w:ascii="仿宋" w:hAnsi="仿宋" w:cs="仿宋"/>
                <w:i w:val="0"/>
                <w:iCs w:val="0"/>
                <w:sz w:val="24"/>
                <w:u w:val="none"/>
                <w:lang w:val="en-US" w:eastAsia="zh-CN"/>
              </w:rPr>
              <w:t>10</w:t>
            </w:r>
          </w:p>
        </w:tc>
        <w:tc>
          <w:tcPr>
            <w:tcW w:w="3496" w:type="pct"/>
            <w:shd w:val="clear" w:color="auto" w:fill="auto"/>
            <w:vAlign w:val="center"/>
          </w:tcPr>
          <w:p w14:paraId="33FFBE70">
            <w:pPr>
              <w:keepNext w:val="0"/>
              <w:keepLines w:val="0"/>
              <w:pageBreakBefore w:val="0"/>
              <w:kinsoku/>
              <w:wordWrap/>
              <w:overflowPunct/>
              <w:topLinePunct w:val="0"/>
              <w:autoSpaceDE/>
              <w:autoSpaceDN/>
              <w:bidi w:val="0"/>
              <w:adjustRightInd w:val="0"/>
              <w:snapToGrid/>
              <w:spacing w:line="300" w:lineRule="exact"/>
              <w:ind w:firstLine="0" w:firstLineChars="0"/>
              <w:rPr>
                <w:rFonts w:hint="eastAsia" w:ascii="仿宋" w:hAnsi="仿宋" w:eastAsia="仿宋" w:cs="仿宋"/>
                <w:i w:val="0"/>
                <w:iCs w:val="0"/>
                <w:kern w:val="2"/>
                <w:sz w:val="24"/>
                <w:szCs w:val="24"/>
                <w:u w:val="none"/>
                <w:lang w:val="en-US" w:eastAsia="zh-CN" w:bidi="ar-SA"/>
              </w:rPr>
            </w:pPr>
            <w:r>
              <w:rPr>
                <w:rFonts w:hint="eastAsia" w:ascii="仿宋" w:hAnsi="仿宋" w:cs="仿宋"/>
                <w:i w:val="0"/>
                <w:iCs w:val="0"/>
                <w:sz w:val="24"/>
                <w:u w:val="none"/>
              </w:rPr>
              <w:t>本科毕业生一次</w:t>
            </w:r>
            <w:r>
              <w:rPr>
                <w:rFonts w:hint="eastAsia" w:ascii="仿宋" w:hAnsi="仿宋" w:cs="仿宋"/>
                <w:i w:val="0"/>
                <w:iCs w:val="0"/>
                <w:sz w:val="24"/>
                <w:u w:val="none"/>
                <w:lang w:val="en-US" w:eastAsia="zh-CN"/>
              </w:rPr>
              <w:t>毕业去向</w:t>
            </w:r>
            <w:r>
              <w:rPr>
                <w:rFonts w:hint="eastAsia" w:ascii="仿宋" w:hAnsi="仿宋" w:cs="仿宋"/>
                <w:i w:val="0"/>
                <w:iCs w:val="0"/>
                <w:sz w:val="24"/>
                <w:u w:val="none"/>
              </w:rPr>
              <w:t>落实率每较</w:t>
            </w:r>
            <w:r>
              <w:rPr>
                <w:rFonts w:hint="eastAsia" w:ascii="仿宋" w:hAnsi="仿宋" w:cs="仿宋"/>
                <w:i w:val="0"/>
                <w:iCs w:val="0"/>
                <w:sz w:val="24"/>
                <w:u w:val="none"/>
                <w:lang w:val="en-US" w:eastAsia="zh-CN"/>
              </w:rPr>
              <w:t>学校本科毕业生一次落实率</w:t>
            </w:r>
            <w:r>
              <w:rPr>
                <w:rFonts w:hint="eastAsia" w:ascii="仿宋" w:hAnsi="仿宋" w:cs="仿宋"/>
                <w:i w:val="0"/>
                <w:iCs w:val="0"/>
                <w:sz w:val="24"/>
                <w:u w:val="none"/>
              </w:rPr>
              <w:t>高/低1%，加/减1分。（±</w:t>
            </w:r>
            <w:r>
              <w:rPr>
                <w:rFonts w:hint="eastAsia" w:ascii="仿宋" w:hAnsi="仿宋" w:cs="仿宋"/>
                <w:i w:val="0"/>
                <w:iCs w:val="0"/>
                <w:sz w:val="24"/>
                <w:u w:val="none"/>
                <w:lang w:val="en-US" w:eastAsia="zh-CN"/>
              </w:rPr>
              <w:t>10</w:t>
            </w:r>
            <w:r>
              <w:rPr>
                <w:rFonts w:hint="eastAsia" w:ascii="仿宋" w:hAnsi="仿宋" w:cs="仿宋"/>
                <w:i w:val="0"/>
                <w:iCs w:val="0"/>
                <w:sz w:val="24"/>
                <w:u w:val="none"/>
              </w:rPr>
              <w:t>分）</w:t>
            </w:r>
          </w:p>
        </w:tc>
      </w:tr>
      <w:tr w14:paraId="51E9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55E48D48">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continue"/>
            <w:shd w:val="clear" w:color="auto" w:fill="auto"/>
            <w:vAlign w:val="center"/>
          </w:tcPr>
          <w:p w14:paraId="139FB605">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304" w:type="pct"/>
            <w:shd w:val="clear" w:color="auto" w:fill="auto"/>
            <w:vAlign w:val="center"/>
          </w:tcPr>
          <w:p w14:paraId="6D8A963B">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bidi="ar"/>
              </w:rPr>
            </w:pPr>
            <w:r>
              <w:rPr>
                <w:rFonts w:hint="eastAsia" w:ascii="仿宋" w:hAnsi="仿宋" w:cs="仿宋"/>
                <w:i w:val="0"/>
                <w:iCs w:val="0"/>
                <w:sz w:val="24"/>
                <w:u w:val="none"/>
                <w:lang w:val="en-US" w:eastAsia="zh-CN" w:bidi="ar"/>
              </w:rPr>
              <w:t>10</w:t>
            </w:r>
          </w:p>
        </w:tc>
        <w:tc>
          <w:tcPr>
            <w:tcW w:w="3496" w:type="pct"/>
            <w:shd w:val="clear" w:color="auto" w:fill="auto"/>
            <w:vAlign w:val="center"/>
          </w:tcPr>
          <w:p w14:paraId="3CBA4338">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毕业研究生一次</w:t>
            </w:r>
            <w:r>
              <w:rPr>
                <w:rFonts w:hint="eastAsia" w:ascii="仿宋" w:hAnsi="仿宋" w:cs="仿宋"/>
                <w:i w:val="0"/>
                <w:iCs w:val="0"/>
                <w:sz w:val="24"/>
                <w:u w:val="none"/>
                <w:lang w:val="en-US" w:eastAsia="zh-CN"/>
              </w:rPr>
              <w:t>毕业去向</w:t>
            </w:r>
            <w:r>
              <w:rPr>
                <w:rFonts w:hint="eastAsia" w:ascii="仿宋" w:hAnsi="仿宋" w:cs="仿宋"/>
                <w:i w:val="0"/>
                <w:iCs w:val="0"/>
                <w:sz w:val="24"/>
                <w:u w:val="none"/>
              </w:rPr>
              <w:t>落实率每较</w:t>
            </w:r>
            <w:r>
              <w:rPr>
                <w:rFonts w:hint="eastAsia" w:ascii="仿宋" w:hAnsi="仿宋" w:cs="仿宋"/>
                <w:i w:val="0"/>
                <w:iCs w:val="0"/>
                <w:sz w:val="24"/>
                <w:u w:val="none"/>
                <w:lang w:val="en-US" w:eastAsia="zh-CN"/>
              </w:rPr>
              <w:t>学校毕业研究生一次落实率</w:t>
            </w:r>
            <w:r>
              <w:rPr>
                <w:rFonts w:hint="eastAsia" w:ascii="仿宋" w:hAnsi="仿宋" w:cs="仿宋"/>
                <w:i w:val="0"/>
                <w:iCs w:val="0"/>
                <w:sz w:val="24"/>
                <w:u w:val="none"/>
              </w:rPr>
              <w:t>高/低1%，加/减1分。（±</w:t>
            </w:r>
            <w:r>
              <w:rPr>
                <w:rFonts w:hint="eastAsia" w:ascii="仿宋" w:hAnsi="仿宋" w:cs="仿宋"/>
                <w:i w:val="0"/>
                <w:iCs w:val="0"/>
                <w:sz w:val="24"/>
                <w:u w:val="none"/>
                <w:lang w:val="en-US" w:eastAsia="zh-CN"/>
              </w:rPr>
              <w:t>10</w:t>
            </w:r>
            <w:r>
              <w:rPr>
                <w:rFonts w:hint="eastAsia" w:ascii="仿宋" w:hAnsi="仿宋" w:cs="仿宋"/>
                <w:i w:val="0"/>
                <w:iCs w:val="0"/>
                <w:sz w:val="24"/>
                <w:u w:val="none"/>
              </w:rPr>
              <w:t>分）</w:t>
            </w:r>
          </w:p>
        </w:tc>
      </w:tr>
      <w:tr w14:paraId="2371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4A6C4AE5">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continue"/>
            <w:shd w:val="clear" w:color="auto" w:fill="auto"/>
            <w:vAlign w:val="center"/>
          </w:tcPr>
          <w:p w14:paraId="6C981723">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304" w:type="pct"/>
            <w:shd w:val="clear" w:color="auto" w:fill="auto"/>
            <w:vAlign w:val="center"/>
          </w:tcPr>
          <w:p w14:paraId="4010F504">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eastAsia="仿宋" w:cs="仿宋"/>
                <w:i w:val="0"/>
                <w:iCs w:val="0"/>
                <w:sz w:val="24"/>
                <w:u w:val="none"/>
                <w:lang w:eastAsia="zh-CN"/>
              </w:rPr>
            </w:pPr>
            <w:r>
              <w:rPr>
                <w:rFonts w:hint="eastAsia" w:ascii="仿宋" w:hAnsi="仿宋" w:cs="仿宋"/>
                <w:i w:val="0"/>
                <w:iCs w:val="0"/>
                <w:sz w:val="24"/>
                <w:u w:val="none"/>
                <w:lang w:val="en-US" w:eastAsia="zh-CN"/>
              </w:rPr>
              <w:t>5</w:t>
            </w:r>
          </w:p>
        </w:tc>
        <w:tc>
          <w:tcPr>
            <w:tcW w:w="3496" w:type="pct"/>
            <w:shd w:val="clear" w:color="auto" w:fill="auto"/>
            <w:vAlign w:val="center"/>
          </w:tcPr>
          <w:p w14:paraId="0F286F78">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困难群体毕业去向落实率不低于学校</w:t>
            </w:r>
            <w:r>
              <w:rPr>
                <w:rFonts w:hint="eastAsia" w:ascii="仿宋" w:hAnsi="仿宋" w:cs="仿宋"/>
                <w:i w:val="0"/>
                <w:iCs w:val="0"/>
                <w:sz w:val="24"/>
                <w:u w:val="none"/>
                <w:lang w:val="en-US" w:eastAsia="zh-CN"/>
              </w:rPr>
              <w:t>一次毕业去向</w:t>
            </w:r>
            <w:r>
              <w:rPr>
                <w:rFonts w:hint="eastAsia" w:ascii="仿宋" w:hAnsi="仿宋" w:cs="仿宋"/>
                <w:i w:val="0"/>
                <w:iCs w:val="0"/>
                <w:sz w:val="24"/>
                <w:u w:val="none"/>
              </w:rPr>
              <w:t>落实率，每低于落实率1%，扣</w:t>
            </w:r>
            <w:r>
              <w:rPr>
                <w:rFonts w:hint="eastAsia" w:ascii="仿宋" w:hAnsi="仿宋" w:cs="仿宋"/>
                <w:i w:val="0"/>
                <w:iCs w:val="0"/>
                <w:sz w:val="24"/>
                <w:u w:val="none"/>
                <w:lang w:val="en-US" w:eastAsia="zh-CN"/>
              </w:rPr>
              <w:t>1</w:t>
            </w:r>
            <w:r>
              <w:rPr>
                <w:rFonts w:hint="eastAsia" w:ascii="仿宋" w:hAnsi="仿宋" w:cs="仿宋"/>
                <w:i w:val="0"/>
                <w:iCs w:val="0"/>
                <w:sz w:val="24"/>
                <w:u w:val="none"/>
              </w:rPr>
              <w:t>分，扣完为止。</w:t>
            </w:r>
          </w:p>
        </w:tc>
      </w:tr>
      <w:tr w14:paraId="372F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1EDB4280">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restart"/>
            <w:shd w:val="clear" w:color="auto" w:fill="auto"/>
            <w:vAlign w:val="center"/>
          </w:tcPr>
          <w:p w14:paraId="7ABD8259">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年度</w:t>
            </w:r>
            <w:r>
              <w:rPr>
                <w:rFonts w:hint="eastAsia" w:ascii="仿宋" w:hAnsi="仿宋" w:cs="仿宋"/>
                <w:i w:val="0"/>
                <w:iCs w:val="0"/>
                <w:sz w:val="24"/>
                <w:u w:val="none"/>
              </w:rPr>
              <w:t>就业落实情况</w:t>
            </w:r>
          </w:p>
        </w:tc>
        <w:tc>
          <w:tcPr>
            <w:tcW w:w="304" w:type="pct"/>
            <w:shd w:val="clear" w:color="auto" w:fill="auto"/>
            <w:vAlign w:val="center"/>
          </w:tcPr>
          <w:p w14:paraId="68429A86">
            <w:pPr>
              <w:keepNext w:val="0"/>
              <w:keepLines w:val="0"/>
              <w:pageBreakBefore w:val="0"/>
              <w:kinsoku/>
              <w:wordWrap/>
              <w:overflowPunct/>
              <w:topLinePunct w:val="0"/>
              <w:autoSpaceDE/>
              <w:autoSpaceDN/>
              <w:bidi w:val="0"/>
              <w:snapToGrid/>
              <w:spacing w:line="300" w:lineRule="exact"/>
              <w:ind w:firstLine="0" w:firstLineChars="0"/>
              <w:jc w:val="center"/>
              <w:rPr>
                <w:rFonts w:ascii="仿宋" w:hAnsi="仿宋" w:cs="仿宋"/>
                <w:i w:val="0"/>
                <w:iCs w:val="0"/>
                <w:sz w:val="24"/>
                <w:u w:val="none"/>
              </w:rPr>
            </w:pPr>
            <w:r>
              <w:rPr>
                <w:rFonts w:hint="eastAsia" w:ascii="仿宋" w:hAnsi="仿宋" w:cs="仿宋"/>
                <w:i w:val="0"/>
                <w:iCs w:val="0"/>
                <w:sz w:val="24"/>
                <w:u w:val="none"/>
              </w:rPr>
              <w:t>10</w:t>
            </w:r>
          </w:p>
        </w:tc>
        <w:tc>
          <w:tcPr>
            <w:tcW w:w="3496" w:type="pct"/>
            <w:shd w:val="clear" w:color="auto" w:fill="auto"/>
            <w:vAlign w:val="center"/>
          </w:tcPr>
          <w:p w14:paraId="643175F3">
            <w:pPr>
              <w:keepNext w:val="0"/>
              <w:keepLines w:val="0"/>
              <w:pageBreakBefore w:val="0"/>
              <w:kinsoku/>
              <w:wordWrap/>
              <w:overflowPunct/>
              <w:topLinePunct w:val="0"/>
              <w:autoSpaceDE/>
              <w:autoSpaceDN/>
              <w:bidi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年度本科毕业生</w:t>
            </w:r>
            <w:r>
              <w:rPr>
                <w:rFonts w:hint="eastAsia" w:ascii="仿宋" w:hAnsi="仿宋" w:cs="仿宋"/>
                <w:i w:val="0"/>
                <w:iCs w:val="0"/>
                <w:sz w:val="24"/>
                <w:u w:val="none"/>
                <w:lang w:val="en-US" w:eastAsia="zh-CN"/>
              </w:rPr>
              <w:t>毕业</w:t>
            </w:r>
            <w:r>
              <w:rPr>
                <w:rFonts w:hint="eastAsia" w:ascii="仿宋" w:hAnsi="仿宋" w:cs="仿宋"/>
                <w:i w:val="0"/>
                <w:iCs w:val="0"/>
                <w:sz w:val="24"/>
                <w:u w:val="none"/>
              </w:rPr>
              <w:t>去向落实率较学校本科落实率每高/低1%，加/减1分。（±10分）</w:t>
            </w:r>
          </w:p>
        </w:tc>
      </w:tr>
      <w:tr w14:paraId="5572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2DC168FF">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continue"/>
            <w:shd w:val="clear" w:color="auto" w:fill="auto"/>
            <w:vAlign w:val="center"/>
          </w:tcPr>
          <w:p w14:paraId="21DB9958">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304" w:type="pct"/>
            <w:shd w:val="clear" w:color="auto" w:fill="auto"/>
            <w:vAlign w:val="center"/>
          </w:tcPr>
          <w:p w14:paraId="55DA5522">
            <w:pPr>
              <w:keepNext w:val="0"/>
              <w:keepLines w:val="0"/>
              <w:pageBreakBefore w:val="0"/>
              <w:kinsoku/>
              <w:wordWrap/>
              <w:overflowPunct/>
              <w:topLinePunct w:val="0"/>
              <w:autoSpaceDE/>
              <w:autoSpaceDN/>
              <w:bidi w:val="0"/>
              <w:snapToGrid/>
              <w:spacing w:line="300" w:lineRule="exact"/>
              <w:ind w:firstLine="0" w:firstLineChars="0"/>
              <w:jc w:val="center"/>
              <w:rPr>
                <w:rFonts w:ascii="仿宋" w:hAnsi="仿宋" w:cs="仿宋"/>
                <w:i w:val="0"/>
                <w:iCs w:val="0"/>
                <w:sz w:val="24"/>
                <w:u w:val="none"/>
              </w:rPr>
            </w:pPr>
            <w:r>
              <w:rPr>
                <w:rFonts w:hint="eastAsia" w:ascii="仿宋" w:hAnsi="仿宋" w:cs="仿宋"/>
                <w:i w:val="0"/>
                <w:iCs w:val="0"/>
                <w:sz w:val="24"/>
                <w:u w:val="none"/>
              </w:rPr>
              <w:t>10</w:t>
            </w:r>
          </w:p>
        </w:tc>
        <w:tc>
          <w:tcPr>
            <w:tcW w:w="3496" w:type="pct"/>
            <w:shd w:val="clear" w:color="auto" w:fill="auto"/>
            <w:vAlign w:val="center"/>
          </w:tcPr>
          <w:p w14:paraId="0A4495F0">
            <w:pPr>
              <w:keepNext w:val="0"/>
              <w:keepLines w:val="0"/>
              <w:pageBreakBefore w:val="0"/>
              <w:kinsoku/>
              <w:wordWrap/>
              <w:overflowPunct/>
              <w:topLinePunct w:val="0"/>
              <w:autoSpaceDE/>
              <w:autoSpaceDN/>
              <w:bidi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年度毕业研究生</w:t>
            </w:r>
            <w:r>
              <w:rPr>
                <w:rFonts w:hint="eastAsia" w:ascii="仿宋" w:hAnsi="仿宋" w:cs="仿宋"/>
                <w:i w:val="0"/>
                <w:iCs w:val="0"/>
                <w:sz w:val="24"/>
                <w:u w:val="none"/>
                <w:lang w:val="en-US" w:eastAsia="zh-CN"/>
              </w:rPr>
              <w:t>毕业</w:t>
            </w:r>
            <w:r>
              <w:rPr>
                <w:rFonts w:hint="eastAsia" w:ascii="仿宋" w:hAnsi="仿宋" w:cs="仿宋"/>
                <w:i w:val="0"/>
                <w:iCs w:val="0"/>
                <w:sz w:val="24"/>
                <w:u w:val="none"/>
              </w:rPr>
              <w:t>去向落实率较学校毕业研究生落实率每高/低1%，加/减1分。（±10分）</w:t>
            </w:r>
          </w:p>
        </w:tc>
      </w:tr>
      <w:tr w14:paraId="2AE9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restart"/>
            <w:shd w:val="clear" w:color="auto" w:fill="auto"/>
            <w:vAlign w:val="center"/>
          </w:tcPr>
          <w:p w14:paraId="717FB21D">
            <w:pPr>
              <w:keepNext w:val="0"/>
              <w:keepLines w:val="0"/>
              <w:pageBreakBefore w:val="0"/>
              <w:widowControl/>
              <w:kinsoku/>
              <w:wordWrap/>
              <w:overflowPunct/>
              <w:topLinePunct w:val="0"/>
              <w:autoSpaceDE/>
              <w:autoSpaceDN/>
              <w:bidi w:val="0"/>
              <w:snapToGrid/>
              <w:spacing w:line="300" w:lineRule="exact"/>
              <w:ind w:firstLine="0" w:firstLineChars="0"/>
              <w:jc w:val="center"/>
              <w:textAlignment w:val="center"/>
              <w:rPr>
                <w:rFonts w:ascii="仿宋" w:hAnsi="仿宋" w:cs="仿宋"/>
                <w:i w:val="0"/>
                <w:iCs w:val="0"/>
                <w:kern w:val="0"/>
                <w:sz w:val="24"/>
                <w:u w:val="none"/>
                <w:lang w:bidi="ar"/>
              </w:rPr>
            </w:pPr>
            <w:r>
              <w:rPr>
                <w:rFonts w:hint="eastAsia" w:ascii="仿宋" w:hAnsi="仿宋" w:cs="仿宋"/>
                <w:i w:val="0"/>
                <w:iCs w:val="0"/>
                <w:kern w:val="0"/>
                <w:sz w:val="24"/>
                <w:u w:val="none"/>
                <w:lang w:val="en-US" w:eastAsia="zh-CN" w:bidi="ar"/>
              </w:rPr>
              <w:t>毕业生就业质量</w:t>
            </w:r>
          </w:p>
        </w:tc>
        <w:tc>
          <w:tcPr>
            <w:tcW w:w="688" w:type="pct"/>
            <w:vMerge w:val="restart"/>
            <w:shd w:val="clear" w:color="auto" w:fill="auto"/>
            <w:vAlign w:val="center"/>
          </w:tcPr>
          <w:p w14:paraId="49D4CBD3">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就业质量专项指标</w:t>
            </w:r>
          </w:p>
        </w:tc>
        <w:tc>
          <w:tcPr>
            <w:tcW w:w="304" w:type="pct"/>
            <w:shd w:val="clear" w:color="auto" w:fill="auto"/>
            <w:vAlign w:val="center"/>
          </w:tcPr>
          <w:p w14:paraId="69257661">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10</w:t>
            </w:r>
          </w:p>
        </w:tc>
        <w:tc>
          <w:tcPr>
            <w:tcW w:w="3496" w:type="pct"/>
            <w:shd w:val="clear" w:color="auto" w:fill="auto"/>
            <w:vAlign w:val="center"/>
          </w:tcPr>
          <w:p w14:paraId="198863D1">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年度签约率与学院前三年平均签约率</w:t>
            </w:r>
            <w:r>
              <w:rPr>
                <w:rFonts w:hint="eastAsia" w:ascii="仿宋" w:hAnsi="仿宋" w:cs="仿宋"/>
                <w:i w:val="0"/>
                <w:iCs w:val="0"/>
                <w:sz w:val="24"/>
                <w:u w:val="none"/>
                <w:lang w:val="en-US" w:eastAsia="zh-CN"/>
              </w:rPr>
              <w:t>相较</w:t>
            </w:r>
            <w:r>
              <w:rPr>
                <w:rFonts w:hint="eastAsia" w:ascii="仿宋" w:hAnsi="仿宋" w:cs="仿宋"/>
                <w:i w:val="0"/>
                <w:iCs w:val="0"/>
                <w:sz w:val="24"/>
                <w:u w:val="none"/>
              </w:rPr>
              <w:t>，每</w:t>
            </w:r>
            <w:r>
              <w:rPr>
                <w:rFonts w:hint="eastAsia" w:ascii="仿宋" w:hAnsi="仿宋" w:cs="仿宋"/>
                <w:i w:val="0"/>
                <w:iCs w:val="0"/>
                <w:sz w:val="24"/>
                <w:u w:val="none"/>
                <w:lang w:val="en-US" w:eastAsia="zh-CN"/>
              </w:rPr>
              <w:t>高/</w:t>
            </w:r>
            <w:r>
              <w:rPr>
                <w:rFonts w:hint="eastAsia" w:ascii="仿宋" w:hAnsi="仿宋" w:cs="仿宋"/>
                <w:i w:val="0"/>
                <w:iCs w:val="0"/>
                <w:sz w:val="24"/>
                <w:u w:val="none"/>
              </w:rPr>
              <w:t>低1%</w:t>
            </w:r>
            <w:r>
              <w:rPr>
                <w:rFonts w:hint="eastAsia" w:ascii="仿宋" w:hAnsi="仿宋" w:cs="仿宋"/>
                <w:i w:val="0"/>
                <w:iCs w:val="0"/>
                <w:sz w:val="24"/>
                <w:u w:val="none"/>
                <w:lang w:eastAsia="zh-CN"/>
              </w:rPr>
              <w:t>，</w:t>
            </w:r>
            <w:r>
              <w:rPr>
                <w:rFonts w:hint="eastAsia" w:ascii="仿宋" w:hAnsi="仿宋" w:cs="仿宋"/>
                <w:i w:val="0"/>
                <w:iCs w:val="0"/>
                <w:sz w:val="24"/>
                <w:u w:val="none"/>
              </w:rPr>
              <w:t>加/减</w:t>
            </w:r>
            <w:r>
              <w:rPr>
                <w:rFonts w:hint="eastAsia" w:ascii="仿宋" w:hAnsi="仿宋" w:cs="仿宋"/>
                <w:i w:val="0"/>
                <w:iCs w:val="0"/>
                <w:sz w:val="24"/>
                <w:u w:val="none"/>
                <w:lang w:val="en-US" w:eastAsia="zh-CN"/>
              </w:rPr>
              <w:t>1</w:t>
            </w:r>
            <w:r>
              <w:rPr>
                <w:rFonts w:hint="eastAsia" w:ascii="仿宋" w:hAnsi="仿宋" w:cs="仿宋"/>
                <w:i w:val="0"/>
                <w:iCs w:val="0"/>
                <w:sz w:val="24"/>
                <w:u w:val="none"/>
              </w:rPr>
              <w:t>分。（±</w:t>
            </w:r>
            <w:r>
              <w:rPr>
                <w:rFonts w:hint="eastAsia" w:ascii="仿宋" w:hAnsi="仿宋" w:cs="仿宋"/>
                <w:i w:val="0"/>
                <w:iCs w:val="0"/>
                <w:sz w:val="24"/>
                <w:u w:val="none"/>
                <w:lang w:val="en-US" w:eastAsia="zh-CN"/>
              </w:rPr>
              <w:t>10</w:t>
            </w:r>
            <w:r>
              <w:rPr>
                <w:rFonts w:hint="eastAsia" w:ascii="仿宋" w:hAnsi="仿宋" w:cs="仿宋"/>
                <w:i w:val="0"/>
                <w:iCs w:val="0"/>
                <w:sz w:val="24"/>
                <w:u w:val="none"/>
              </w:rPr>
              <w:t>分）</w:t>
            </w:r>
          </w:p>
        </w:tc>
      </w:tr>
      <w:tr w14:paraId="7A99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79372156">
            <w:pPr>
              <w:keepNext w:val="0"/>
              <w:keepLines w:val="0"/>
              <w:pageBreakBefore w:val="0"/>
              <w:widowControl/>
              <w:kinsoku/>
              <w:wordWrap/>
              <w:overflowPunct/>
              <w:topLinePunct w:val="0"/>
              <w:autoSpaceDE/>
              <w:autoSpaceDN/>
              <w:bidi w:val="0"/>
              <w:snapToGrid/>
              <w:spacing w:line="300" w:lineRule="exact"/>
              <w:ind w:firstLine="0" w:firstLineChars="0"/>
              <w:jc w:val="center"/>
              <w:textAlignment w:val="center"/>
              <w:rPr>
                <w:rFonts w:ascii="仿宋" w:hAnsi="仿宋" w:cs="仿宋"/>
                <w:i w:val="0"/>
                <w:iCs w:val="0"/>
                <w:kern w:val="0"/>
                <w:sz w:val="24"/>
                <w:u w:val="none"/>
                <w:lang w:bidi="ar"/>
              </w:rPr>
            </w:pPr>
          </w:p>
        </w:tc>
        <w:tc>
          <w:tcPr>
            <w:tcW w:w="688" w:type="pct"/>
            <w:vMerge w:val="continue"/>
            <w:shd w:val="clear" w:color="auto" w:fill="auto"/>
            <w:vAlign w:val="center"/>
          </w:tcPr>
          <w:p w14:paraId="649B7EF5">
            <w:pPr>
              <w:keepNext w:val="0"/>
              <w:keepLines w:val="0"/>
              <w:pageBreakBefore w:val="0"/>
              <w:widowControl/>
              <w:kinsoku/>
              <w:wordWrap/>
              <w:overflowPunct/>
              <w:topLinePunct w:val="0"/>
              <w:autoSpaceDE/>
              <w:autoSpaceDN/>
              <w:bidi w:val="0"/>
              <w:snapToGrid/>
              <w:spacing w:line="300" w:lineRule="exact"/>
              <w:ind w:firstLine="0" w:firstLineChars="0"/>
              <w:jc w:val="center"/>
              <w:textAlignment w:val="center"/>
              <w:rPr>
                <w:rFonts w:ascii="仿宋" w:hAnsi="仿宋" w:cs="仿宋"/>
                <w:i w:val="0"/>
                <w:iCs w:val="0"/>
                <w:kern w:val="0"/>
                <w:sz w:val="24"/>
                <w:u w:val="none"/>
                <w:lang w:bidi="ar"/>
              </w:rPr>
            </w:pPr>
          </w:p>
        </w:tc>
        <w:tc>
          <w:tcPr>
            <w:tcW w:w="304" w:type="pct"/>
            <w:shd w:val="clear" w:color="auto" w:fill="auto"/>
            <w:vAlign w:val="center"/>
          </w:tcPr>
          <w:p w14:paraId="04F80E08">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cs="仿宋"/>
                <w:i w:val="0"/>
                <w:iCs w:val="0"/>
                <w:sz w:val="24"/>
                <w:u w:val="none"/>
                <w:lang w:val="en-US" w:eastAsia="zh-CN"/>
              </w:rPr>
            </w:pPr>
            <w:r>
              <w:rPr>
                <w:rFonts w:hint="eastAsia" w:ascii="仿宋" w:hAnsi="仿宋" w:cs="仿宋"/>
                <w:i w:val="0"/>
                <w:iCs w:val="0"/>
                <w:sz w:val="24"/>
                <w:u w:val="none"/>
                <w:lang w:val="en-US" w:eastAsia="zh-CN"/>
              </w:rPr>
              <w:t>5</w:t>
            </w:r>
          </w:p>
        </w:tc>
        <w:tc>
          <w:tcPr>
            <w:tcW w:w="3496" w:type="pct"/>
            <w:shd w:val="clear" w:color="auto" w:fill="auto"/>
            <w:vAlign w:val="center"/>
          </w:tcPr>
          <w:p w14:paraId="78285E71">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考研率与学院前三年平均考研率</w:t>
            </w:r>
            <w:r>
              <w:rPr>
                <w:rFonts w:hint="eastAsia" w:ascii="仿宋" w:hAnsi="仿宋" w:cs="仿宋"/>
                <w:i w:val="0"/>
                <w:iCs w:val="0"/>
                <w:sz w:val="24"/>
                <w:u w:val="none"/>
                <w:lang w:val="en-US" w:eastAsia="zh-CN"/>
              </w:rPr>
              <w:t>相较</w:t>
            </w:r>
            <w:r>
              <w:rPr>
                <w:rFonts w:hint="eastAsia" w:ascii="仿宋" w:hAnsi="仿宋" w:cs="仿宋"/>
                <w:i w:val="0"/>
                <w:iCs w:val="0"/>
                <w:sz w:val="24"/>
                <w:u w:val="none"/>
              </w:rPr>
              <w:t>，每</w:t>
            </w:r>
            <w:r>
              <w:rPr>
                <w:rFonts w:hint="eastAsia" w:ascii="仿宋" w:hAnsi="仿宋" w:cs="仿宋"/>
                <w:i w:val="0"/>
                <w:iCs w:val="0"/>
                <w:sz w:val="24"/>
                <w:u w:val="none"/>
                <w:lang w:val="en-US" w:eastAsia="zh-CN"/>
              </w:rPr>
              <w:t>高/</w:t>
            </w:r>
            <w:r>
              <w:rPr>
                <w:rFonts w:hint="eastAsia" w:ascii="仿宋" w:hAnsi="仿宋" w:cs="仿宋"/>
                <w:i w:val="0"/>
                <w:iCs w:val="0"/>
                <w:sz w:val="24"/>
                <w:u w:val="none"/>
              </w:rPr>
              <w:t>低1%</w:t>
            </w:r>
            <w:r>
              <w:rPr>
                <w:rFonts w:hint="eastAsia" w:ascii="仿宋" w:hAnsi="仿宋" w:cs="仿宋"/>
                <w:i w:val="0"/>
                <w:iCs w:val="0"/>
                <w:sz w:val="24"/>
                <w:u w:val="none"/>
                <w:lang w:eastAsia="zh-CN"/>
              </w:rPr>
              <w:t>，</w:t>
            </w:r>
            <w:r>
              <w:rPr>
                <w:rFonts w:hint="eastAsia" w:ascii="仿宋" w:hAnsi="仿宋" w:cs="仿宋"/>
                <w:i w:val="0"/>
                <w:iCs w:val="0"/>
                <w:sz w:val="24"/>
                <w:u w:val="none"/>
              </w:rPr>
              <w:t>加/减0.5分。（±</w:t>
            </w:r>
            <w:r>
              <w:rPr>
                <w:rFonts w:hint="eastAsia" w:ascii="仿宋" w:hAnsi="仿宋" w:cs="仿宋"/>
                <w:i w:val="0"/>
                <w:iCs w:val="0"/>
                <w:sz w:val="24"/>
                <w:u w:val="none"/>
                <w:lang w:val="en-US" w:eastAsia="zh-CN"/>
              </w:rPr>
              <w:t>5</w:t>
            </w:r>
            <w:r>
              <w:rPr>
                <w:rFonts w:hint="eastAsia" w:ascii="仿宋" w:hAnsi="仿宋" w:cs="仿宋"/>
                <w:i w:val="0"/>
                <w:iCs w:val="0"/>
                <w:sz w:val="24"/>
                <w:u w:val="none"/>
              </w:rPr>
              <w:t>分）</w:t>
            </w:r>
          </w:p>
        </w:tc>
      </w:tr>
      <w:tr w14:paraId="47C2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2BCB59FB">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continue"/>
            <w:shd w:val="clear" w:color="auto" w:fill="auto"/>
            <w:vAlign w:val="center"/>
          </w:tcPr>
          <w:p w14:paraId="29040D4A">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304" w:type="pct"/>
            <w:shd w:val="clear" w:color="auto" w:fill="auto"/>
            <w:vAlign w:val="center"/>
          </w:tcPr>
          <w:p w14:paraId="2387058B">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eastAsia="仿宋" w:cs="仿宋"/>
                <w:i w:val="0"/>
                <w:iCs w:val="0"/>
                <w:sz w:val="24"/>
                <w:u w:val="none"/>
                <w:lang w:eastAsia="zh-CN"/>
              </w:rPr>
            </w:pPr>
            <w:r>
              <w:rPr>
                <w:rFonts w:hint="eastAsia" w:ascii="仿宋" w:hAnsi="仿宋" w:cs="仿宋"/>
                <w:i w:val="0"/>
                <w:iCs w:val="0"/>
                <w:sz w:val="24"/>
                <w:u w:val="none"/>
                <w:lang w:val="en-US" w:eastAsia="zh-CN"/>
              </w:rPr>
              <w:t>3</w:t>
            </w:r>
          </w:p>
        </w:tc>
        <w:tc>
          <w:tcPr>
            <w:tcW w:w="3496" w:type="pct"/>
            <w:shd w:val="clear" w:color="auto" w:fill="auto"/>
            <w:vAlign w:val="center"/>
          </w:tcPr>
          <w:p w14:paraId="1270D0EA">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西部基层就业比例与学院前三年平均西部基层就业比例</w:t>
            </w:r>
            <w:r>
              <w:rPr>
                <w:rFonts w:hint="eastAsia" w:ascii="仿宋" w:hAnsi="仿宋" w:cs="仿宋"/>
                <w:i w:val="0"/>
                <w:iCs w:val="0"/>
                <w:sz w:val="24"/>
                <w:u w:val="none"/>
                <w:lang w:val="en-US" w:eastAsia="zh-CN"/>
              </w:rPr>
              <w:t>相较</w:t>
            </w:r>
            <w:r>
              <w:rPr>
                <w:rFonts w:hint="eastAsia" w:ascii="仿宋" w:hAnsi="仿宋" w:cs="仿宋"/>
                <w:i w:val="0"/>
                <w:iCs w:val="0"/>
                <w:sz w:val="24"/>
                <w:u w:val="none"/>
              </w:rPr>
              <w:t>，每</w:t>
            </w:r>
            <w:r>
              <w:rPr>
                <w:rFonts w:hint="eastAsia" w:ascii="仿宋" w:hAnsi="仿宋" w:cs="仿宋"/>
                <w:i w:val="0"/>
                <w:iCs w:val="0"/>
                <w:sz w:val="24"/>
                <w:u w:val="none"/>
                <w:lang w:val="en-US" w:eastAsia="zh-CN"/>
              </w:rPr>
              <w:t>高</w:t>
            </w:r>
            <w:r>
              <w:rPr>
                <w:rFonts w:hint="eastAsia" w:ascii="仿宋" w:hAnsi="仿宋" w:cs="仿宋"/>
                <w:i w:val="0"/>
                <w:iCs w:val="0"/>
                <w:sz w:val="24"/>
                <w:u w:val="none"/>
              </w:rPr>
              <w:t>1%</w:t>
            </w:r>
            <w:r>
              <w:rPr>
                <w:rFonts w:hint="eastAsia" w:ascii="仿宋" w:hAnsi="仿宋" w:cs="仿宋"/>
                <w:i w:val="0"/>
                <w:iCs w:val="0"/>
                <w:sz w:val="24"/>
                <w:u w:val="none"/>
                <w:lang w:eastAsia="zh-CN"/>
              </w:rPr>
              <w:t>，</w:t>
            </w:r>
            <w:r>
              <w:rPr>
                <w:rFonts w:hint="eastAsia" w:ascii="仿宋" w:hAnsi="仿宋" w:cs="仿宋"/>
                <w:i w:val="0"/>
                <w:iCs w:val="0"/>
                <w:sz w:val="24"/>
                <w:u w:val="none"/>
              </w:rPr>
              <w:t>加</w:t>
            </w:r>
            <w:r>
              <w:rPr>
                <w:rFonts w:hint="eastAsia" w:ascii="仿宋" w:hAnsi="仿宋" w:cs="仿宋"/>
                <w:i w:val="0"/>
                <w:iCs w:val="0"/>
                <w:sz w:val="24"/>
                <w:u w:val="none"/>
                <w:lang w:val="en-US" w:eastAsia="zh-CN"/>
              </w:rPr>
              <w:t>0</w:t>
            </w:r>
            <w:r>
              <w:rPr>
                <w:rFonts w:hint="eastAsia" w:ascii="仿宋" w:hAnsi="仿宋" w:cs="仿宋"/>
                <w:i w:val="0"/>
                <w:iCs w:val="0"/>
                <w:sz w:val="24"/>
                <w:u w:val="none"/>
              </w:rPr>
              <w:t>.5分</w:t>
            </w:r>
            <w:r>
              <w:rPr>
                <w:rFonts w:hint="eastAsia" w:ascii="仿宋" w:hAnsi="仿宋" w:cs="仿宋"/>
                <w:i w:val="0"/>
                <w:iCs w:val="0"/>
                <w:sz w:val="24"/>
                <w:u w:val="none"/>
                <w:lang w:val="en-US" w:eastAsia="zh-CN"/>
              </w:rPr>
              <w:t>,加满为止</w:t>
            </w:r>
            <w:r>
              <w:rPr>
                <w:rFonts w:hint="eastAsia" w:ascii="仿宋" w:hAnsi="仿宋" w:cs="仿宋"/>
                <w:i w:val="0"/>
                <w:iCs w:val="0"/>
                <w:sz w:val="24"/>
                <w:u w:val="none"/>
              </w:rPr>
              <w:t>。</w:t>
            </w:r>
          </w:p>
        </w:tc>
      </w:tr>
      <w:tr w14:paraId="1F42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69D05118">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continue"/>
            <w:shd w:val="clear" w:color="auto" w:fill="auto"/>
            <w:vAlign w:val="center"/>
          </w:tcPr>
          <w:p w14:paraId="7A12D7A0">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304" w:type="pct"/>
            <w:shd w:val="clear" w:color="auto" w:fill="auto"/>
            <w:vAlign w:val="center"/>
          </w:tcPr>
          <w:p w14:paraId="40837C8F">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3</w:t>
            </w:r>
          </w:p>
        </w:tc>
        <w:tc>
          <w:tcPr>
            <w:tcW w:w="3496" w:type="pct"/>
            <w:shd w:val="clear" w:color="auto" w:fill="auto"/>
            <w:vAlign w:val="center"/>
          </w:tcPr>
          <w:p w14:paraId="26A3C79D">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签约就业毕业生中，地方选调生比例与学院前三年平均</w:t>
            </w:r>
            <w:r>
              <w:rPr>
                <w:rFonts w:hint="eastAsia" w:ascii="仿宋" w:hAnsi="仿宋" w:cs="仿宋"/>
                <w:i w:val="0"/>
                <w:iCs w:val="0"/>
                <w:sz w:val="24"/>
                <w:u w:val="none"/>
                <w:lang w:val="en-US" w:eastAsia="zh-CN"/>
              </w:rPr>
              <w:t>选调生</w:t>
            </w:r>
            <w:r>
              <w:rPr>
                <w:rFonts w:hint="eastAsia" w:ascii="仿宋" w:hAnsi="仿宋" w:cs="仿宋"/>
                <w:i w:val="0"/>
                <w:iCs w:val="0"/>
                <w:sz w:val="24"/>
                <w:u w:val="none"/>
              </w:rPr>
              <w:t>比例</w:t>
            </w:r>
            <w:r>
              <w:rPr>
                <w:rFonts w:hint="eastAsia" w:ascii="仿宋" w:hAnsi="仿宋" w:cs="仿宋"/>
                <w:i w:val="0"/>
                <w:iCs w:val="0"/>
                <w:sz w:val="24"/>
                <w:u w:val="none"/>
                <w:lang w:val="en-US" w:eastAsia="zh-CN"/>
              </w:rPr>
              <w:t>相较</w:t>
            </w:r>
            <w:r>
              <w:rPr>
                <w:rFonts w:hint="eastAsia" w:ascii="仿宋" w:hAnsi="仿宋" w:cs="仿宋"/>
                <w:i w:val="0"/>
                <w:iCs w:val="0"/>
                <w:sz w:val="24"/>
                <w:u w:val="none"/>
              </w:rPr>
              <w:t>，每</w:t>
            </w:r>
            <w:r>
              <w:rPr>
                <w:rFonts w:hint="eastAsia" w:ascii="仿宋" w:hAnsi="仿宋" w:cs="仿宋"/>
                <w:i w:val="0"/>
                <w:iCs w:val="0"/>
                <w:sz w:val="24"/>
                <w:u w:val="none"/>
                <w:lang w:val="en-US" w:eastAsia="zh-CN"/>
              </w:rPr>
              <w:t>高</w:t>
            </w:r>
            <w:r>
              <w:rPr>
                <w:rFonts w:hint="eastAsia" w:ascii="仿宋" w:hAnsi="仿宋" w:cs="仿宋"/>
                <w:i w:val="0"/>
                <w:iCs w:val="0"/>
                <w:sz w:val="24"/>
                <w:u w:val="none"/>
              </w:rPr>
              <w:t>1%，</w:t>
            </w:r>
            <w:r>
              <w:rPr>
                <w:rFonts w:hint="eastAsia" w:ascii="仿宋" w:hAnsi="仿宋" w:cs="仿宋"/>
                <w:i w:val="0"/>
                <w:iCs w:val="0"/>
                <w:sz w:val="24"/>
                <w:u w:val="none"/>
                <w:lang w:val="en-US" w:eastAsia="zh-CN"/>
              </w:rPr>
              <w:t>加</w:t>
            </w:r>
            <w:r>
              <w:rPr>
                <w:rFonts w:hint="eastAsia" w:ascii="仿宋" w:hAnsi="仿宋" w:cs="仿宋"/>
                <w:i w:val="0"/>
                <w:iCs w:val="0"/>
                <w:sz w:val="24"/>
                <w:u w:val="none"/>
              </w:rPr>
              <w:t>0.5分，加满为止。</w:t>
            </w:r>
          </w:p>
        </w:tc>
      </w:tr>
      <w:tr w14:paraId="5678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67E21F93">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restart"/>
            <w:shd w:val="clear" w:color="auto" w:fill="auto"/>
            <w:vAlign w:val="center"/>
          </w:tcPr>
          <w:p w14:paraId="678790BA">
            <w:pPr>
              <w:keepNext w:val="0"/>
              <w:keepLines w:val="0"/>
              <w:pageBreakBefore w:val="0"/>
              <w:kinsoku/>
              <w:wordWrap/>
              <w:overflowPunct/>
              <w:topLinePunct w:val="0"/>
              <w:autoSpaceDE/>
              <w:autoSpaceDN/>
              <w:bidi w:val="0"/>
              <w:snapToGrid/>
              <w:spacing w:line="300" w:lineRule="exact"/>
              <w:ind w:firstLine="0" w:firstLineChars="0"/>
              <w:jc w:val="center"/>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重点</w:t>
            </w:r>
            <w:r>
              <w:rPr>
                <w:rFonts w:hint="eastAsia" w:ascii="仿宋" w:hAnsi="仿宋" w:cs="仿宋"/>
                <w:i w:val="0"/>
                <w:iCs w:val="0"/>
                <w:sz w:val="24"/>
                <w:u w:val="none"/>
              </w:rPr>
              <w:t>项目</w:t>
            </w:r>
            <w:r>
              <w:rPr>
                <w:rFonts w:hint="eastAsia" w:ascii="仿宋" w:hAnsi="仿宋" w:cs="仿宋"/>
                <w:i w:val="0"/>
                <w:iCs w:val="0"/>
                <w:sz w:val="24"/>
                <w:u w:val="none"/>
                <w:lang w:val="en-US" w:eastAsia="zh-CN"/>
              </w:rPr>
              <w:t>就业情况</w:t>
            </w:r>
          </w:p>
        </w:tc>
        <w:tc>
          <w:tcPr>
            <w:tcW w:w="304" w:type="pct"/>
            <w:shd w:val="clear" w:color="auto" w:fill="auto"/>
            <w:vAlign w:val="center"/>
          </w:tcPr>
          <w:p w14:paraId="36BA9769">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2</w:t>
            </w:r>
          </w:p>
        </w:tc>
        <w:tc>
          <w:tcPr>
            <w:tcW w:w="3496" w:type="pct"/>
            <w:shd w:val="clear" w:color="auto" w:fill="auto"/>
            <w:vAlign w:val="center"/>
          </w:tcPr>
          <w:p w14:paraId="0318743C">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参加“大学生村官”“三支一扶”“志愿服务西部”等项目，每人0.5分，加满为止。</w:t>
            </w:r>
          </w:p>
        </w:tc>
      </w:tr>
      <w:tr w14:paraId="17A5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exact"/>
        </w:trPr>
        <w:tc>
          <w:tcPr>
            <w:tcW w:w="510" w:type="pct"/>
            <w:vMerge w:val="continue"/>
            <w:shd w:val="clear" w:color="auto" w:fill="auto"/>
            <w:vAlign w:val="center"/>
          </w:tcPr>
          <w:p w14:paraId="2BC2E2EA">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continue"/>
            <w:shd w:val="clear" w:color="auto" w:fill="auto"/>
            <w:vAlign w:val="center"/>
          </w:tcPr>
          <w:p w14:paraId="37A2C189">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304" w:type="pct"/>
            <w:shd w:val="clear" w:color="auto" w:fill="auto"/>
            <w:vAlign w:val="center"/>
          </w:tcPr>
          <w:p w14:paraId="1C4F87E1">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r>
              <w:rPr>
                <w:rFonts w:hint="eastAsia" w:ascii="仿宋" w:hAnsi="仿宋" w:cs="仿宋"/>
                <w:i w:val="0"/>
                <w:iCs w:val="0"/>
                <w:sz w:val="24"/>
                <w:u w:val="none"/>
              </w:rPr>
              <w:t>2</w:t>
            </w:r>
          </w:p>
        </w:tc>
        <w:tc>
          <w:tcPr>
            <w:tcW w:w="3496" w:type="pct"/>
            <w:shd w:val="clear" w:color="auto" w:fill="auto"/>
            <w:vAlign w:val="center"/>
          </w:tcPr>
          <w:p w14:paraId="19FD40D2">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参加新疆西藏专招项目，每人</w:t>
            </w:r>
            <w:r>
              <w:rPr>
                <w:rFonts w:hint="eastAsia" w:ascii="仿宋" w:hAnsi="仿宋" w:cs="仿宋"/>
                <w:i w:val="0"/>
                <w:iCs w:val="0"/>
                <w:sz w:val="24"/>
                <w:u w:val="none"/>
                <w:lang w:val="en-US" w:eastAsia="zh-CN"/>
              </w:rPr>
              <w:t>1</w:t>
            </w:r>
            <w:r>
              <w:rPr>
                <w:rFonts w:hint="eastAsia" w:ascii="仿宋" w:hAnsi="仿宋" w:cs="仿宋"/>
                <w:i w:val="0"/>
                <w:iCs w:val="0"/>
                <w:sz w:val="24"/>
                <w:u w:val="none"/>
              </w:rPr>
              <w:t>分，不设上限。</w:t>
            </w:r>
          </w:p>
        </w:tc>
      </w:tr>
      <w:tr w14:paraId="4186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exact"/>
        </w:trPr>
        <w:tc>
          <w:tcPr>
            <w:tcW w:w="510" w:type="pct"/>
            <w:vMerge w:val="continue"/>
            <w:shd w:val="clear" w:color="auto" w:fill="auto"/>
            <w:vAlign w:val="center"/>
          </w:tcPr>
          <w:p w14:paraId="208D831A">
            <w:pPr>
              <w:keepNext w:val="0"/>
              <w:keepLines w:val="0"/>
              <w:pageBreakBefore w:val="0"/>
              <w:kinsoku/>
              <w:wordWrap/>
              <w:overflowPunct/>
              <w:topLinePunct w:val="0"/>
              <w:autoSpaceDE/>
              <w:autoSpaceDN/>
              <w:bidi w:val="0"/>
              <w:snapToGrid/>
              <w:spacing w:line="300" w:lineRule="exact"/>
              <w:ind w:firstLine="0" w:firstLineChars="0"/>
              <w:jc w:val="center"/>
              <w:rPr>
                <w:rFonts w:ascii="仿宋" w:hAnsi="仿宋" w:cs="仿宋"/>
                <w:i w:val="0"/>
                <w:iCs w:val="0"/>
                <w:sz w:val="24"/>
                <w:u w:val="none"/>
              </w:rPr>
            </w:pPr>
          </w:p>
        </w:tc>
        <w:tc>
          <w:tcPr>
            <w:tcW w:w="688" w:type="pct"/>
            <w:vMerge w:val="continue"/>
            <w:shd w:val="clear" w:color="auto" w:fill="auto"/>
            <w:vAlign w:val="center"/>
          </w:tcPr>
          <w:p w14:paraId="1FFE13F2">
            <w:pPr>
              <w:keepNext w:val="0"/>
              <w:keepLines w:val="0"/>
              <w:pageBreakBefore w:val="0"/>
              <w:kinsoku/>
              <w:wordWrap/>
              <w:overflowPunct/>
              <w:topLinePunct w:val="0"/>
              <w:autoSpaceDE/>
              <w:autoSpaceDN/>
              <w:bidi w:val="0"/>
              <w:snapToGrid/>
              <w:spacing w:line="300" w:lineRule="exact"/>
              <w:ind w:firstLine="0" w:firstLineChars="0"/>
              <w:jc w:val="center"/>
              <w:rPr>
                <w:rFonts w:ascii="仿宋" w:hAnsi="仿宋" w:cs="仿宋"/>
                <w:i w:val="0"/>
                <w:iCs w:val="0"/>
                <w:sz w:val="24"/>
                <w:u w:val="none"/>
              </w:rPr>
            </w:pPr>
          </w:p>
        </w:tc>
        <w:tc>
          <w:tcPr>
            <w:tcW w:w="304" w:type="pct"/>
            <w:shd w:val="clear" w:color="auto" w:fill="auto"/>
            <w:vAlign w:val="center"/>
          </w:tcPr>
          <w:p w14:paraId="12ADFDE6">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eastAsia="仿宋" w:cs="仿宋"/>
                <w:i w:val="0"/>
                <w:iCs w:val="0"/>
                <w:sz w:val="24"/>
                <w:u w:val="none"/>
                <w:lang w:eastAsia="zh-CN"/>
              </w:rPr>
            </w:pPr>
            <w:r>
              <w:rPr>
                <w:rFonts w:hint="eastAsia" w:ascii="仿宋" w:hAnsi="仿宋" w:cs="仿宋"/>
                <w:i w:val="0"/>
                <w:iCs w:val="0"/>
                <w:sz w:val="24"/>
                <w:u w:val="none"/>
                <w:lang w:val="en-US" w:eastAsia="zh-CN"/>
              </w:rPr>
              <w:t>2</w:t>
            </w:r>
          </w:p>
        </w:tc>
        <w:tc>
          <w:tcPr>
            <w:tcW w:w="3496" w:type="pct"/>
            <w:shd w:val="clear" w:color="auto" w:fill="auto"/>
            <w:vAlign w:val="center"/>
          </w:tcPr>
          <w:p w14:paraId="6041739C">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毕业生参军入伍，每人0.5分，加满为止。</w:t>
            </w:r>
          </w:p>
        </w:tc>
      </w:tr>
      <w:tr w14:paraId="289E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exact"/>
        </w:trPr>
        <w:tc>
          <w:tcPr>
            <w:tcW w:w="510" w:type="pct"/>
            <w:vMerge w:val="continue"/>
            <w:shd w:val="clear" w:color="auto" w:fill="auto"/>
            <w:vAlign w:val="center"/>
          </w:tcPr>
          <w:p w14:paraId="3E605F10">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continue"/>
            <w:shd w:val="clear" w:color="auto" w:fill="auto"/>
            <w:vAlign w:val="center"/>
          </w:tcPr>
          <w:p w14:paraId="54644CFE">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304" w:type="pct"/>
            <w:shd w:val="clear" w:color="auto" w:fill="auto"/>
            <w:vAlign w:val="center"/>
          </w:tcPr>
          <w:p w14:paraId="3C593C82">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r>
              <w:rPr>
                <w:rFonts w:hint="eastAsia" w:ascii="仿宋" w:hAnsi="仿宋" w:cs="仿宋"/>
                <w:i w:val="0"/>
                <w:iCs w:val="0"/>
                <w:sz w:val="24"/>
                <w:u w:val="none"/>
                <w:lang w:val="en-US" w:eastAsia="zh-CN"/>
              </w:rPr>
              <w:t>2</w:t>
            </w:r>
          </w:p>
        </w:tc>
        <w:tc>
          <w:tcPr>
            <w:tcW w:w="3496" w:type="pct"/>
            <w:shd w:val="clear" w:color="auto" w:fill="auto"/>
            <w:vAlign w:val="center"/>
          </w:tcPr>
          <w:p w14:paraId="4A51D7AE">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自主创业并完成工商注册，每人0.5分，加满为止。</w:t>
            </w:r>
          </w:p>
        </w:tc>
      </w:tr>
      <w:tr w14:paraId="682E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10" w:type="pct"/>
            <w:vMerge w:val="continue"/>
            <w:shd w:val="clear" w:color="auto" w:fill="auto"/>
            <w:vAlign w:val="center"/>
          </w:tcPr>
          <w:p w14:paraId="60FAAB6B">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688" w:type="pct"/>
            <w:vMerge w:val="continue"/>
            <w:shd w:val="clear" w:color="auto" w:fill="auto"/>
            <w:vAlign w:val="center"/>
          </w:tcPr>
          <w:p w14:paraId="79BB05D8">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p>
        </w:tc>
        <w:tc>
          <w:tcPr>
            <w:tcW w:w="304" w:type="pct"/>
            <w:shd w:val="clear" w:color="auto" w:fill="auto"/>
            <w:vAlign w:val="center"/>
          </w:tcPr>
          <w:p w14:paraId="67FEB291">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sz w:val="24"/>
                <w:u w:val="none"/>
              </w:rPr>
            </w:pPr>
            <w:r>
              <w:rPr>
                <w:rFonts w:hint="eastAsia" w:ascii="仿宋" w:hAnsi="仿宋" w:cs="仿宋"/>
                <w:i w:val="0"/>
                <w:iCs w:val="0"/>
                <w:sz w:val="24"/>
                <w:u w:val="none"/>
                <w:lang w:val="en-US" w:eastAsia="zh-CN"/>
              </w:rPr>
              <w:t>2</w:t>
            </w:r>
          </w:p>
        </w:tc>
        <w:tc>
          <w:tcPr>
            <w:tcW w:w="3496" w:type="pct"/>
            <w:shd w:val="clear" w:color="auto" w:fill="auto"/>
            <w:vAlign w:val="center"/>
          </w:tcPr>
          <w:p w14:paraId="118BCE14">
            <w:pPr>
              <w:keepNext w:val="0"/>
              <w:keepLines w:val="0"/>
              <w:pageBreakBefore w:val="0"/>
              <w:kinsoku/>
              <w:wordWrap/>
              <w:overflowPunct/>
              <w:topLinePunct w:val="0"/>
              <w:autoSpaceDE/>
              <w:autoSpaceDN/>
              <w:bidi w:val="0"/>
              <w:adjustRightInd w:val="0"/>
              <w:snapToGrid/>
              <w:spacing w:line="300" w:lineRule="exact"/>
              <w:ind w:firstLine="0" w:firstLineChars="0"/>
              <w:rPr>
                <w:rFonts w:ascii="仿宋" w:hAnsi="仿宋" w:cs="仿宋"/>
                <w:i w:val="0"/>
                <w:iCs w:val="0"/>
                <w:sz w:val="24"/>
                <w:u w:val="none"/>
              </w:rPr>
            </w:pPr>
            <w:r>
              <w:rPr>
                <w:rFonts w:hint="eastAsia" w:ascii="仿宋" w:hAnsi="仿宋" w:cs="仿宋"/>
                <w:i w:val="0"/>
                <w:iCs w:val="0"/>
                <w:sz w:val="24"/>
                <w:u w:val="none"/>
              </w:rPr>
              <w:t>到国际组织实习任职，每人0.5分，加满为止。</w:t>
            </w:r>
          </w:p>
        </w:tc>
      </w:tr>
      <w:tr w14:paraId="034C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2" w:hRule="atLeast"/>
        </w:trPr>
        <w:tc>
          <w:tcPr>
            <w:tcW w:w="510" w:type="pct"/>
            <w:vMerge w:val="continue"/>
            <w:shd w:val="clear" w:color="auto" w:fill="auto"/>
            <w:vAlign w:val="center"/>
          </w:tcPr>
          <w:p w14:paraId="75CAEA30">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ascii="仿宋" w:hAnsi="仿宋" w:cs="仿宋"/>
                <w:i w:val="0"/>
                <w:iCs w:val="0"/>
                <w:kern w:val="0"/>
                <w:sz w:val="24"/>
                <w:u w:val="none"/>
                <w:lang w:bidi="ar"/>
              </w:rPr>
            </w:pPr>
          </w:p>
        </w:tc>
        <w:tc>
          <w:tcPr>
            <w:tcW w:w="688" w:type="pct"/>
            <w:shd w:val="clear" w:color="auto" w:fill="auto"/>
            <w:vAlign w:val="center"/>
          </w:tcPr>
          <w:p w14:paraId="7A88A70E">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cs="仿宋"/>
                <w:i w:val="0"/>
                <w:iCs w:val="0"/>
                <w:sz w:val="24"/>
                <w:u w:val="none"/>
              </w:rPr>
            </w:pPr>
            <w:r>
              <w:rPr>
                <w:rFonts w:hint="eastAsia" w:ascii="仿宋" w:hAnsi="仿宋" w:cs="仿宋"/>
                <w:i w:val="0"/>
                <w:iCs w:val="0"/>
                <w:sz w:val="24"/>
                <w:u w:val="none"/>
              </w:rPr>
              <w:t>工作</w:t>
            </w:r>
          </w:p>
          <w:p w14:paraId="769CD45C">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eastAsia="仿宋" w:cs="仿宋"/>
                <w:i w:val="0"/>
                <w:iCs w:val="0"/>
                <w:kern w:val="2"/>
                <w:sz w:val="24"/>
                <w:szCs w:val="24"/>
                <w:u w:val="none"/>
                <w:lang w:val="en-US" w:eastAsia="zh-CN" w:bidi="ar-SA"/>
              </w:rPr>
            </w:pPr>
            <w:r>
              <w:rPr>
                <w:rFonts w:hint="eastAsia" w:ascii="仿宋" w:hAnsi="仿宋" w:cs="仿宋"/>
                <w:i w:val="0"/>
                <w:iCs w:val="0"/>
                <w:sz w:val="24"/>
                <w:u w:val="none"/>
              </w:rPr>
              <w:t>满意度</w:t>
            </w:r>
          </w:p>
        </w:tc>
        <w:tc>
          <w:tcPr>
            <w:tcW w:w="304" w:type="pct"/>
            <w:shd w:val="clear" w:color="auto" w:fill="auto"/>
            <w:vAlign w:val="center"/>
          </w:tcPr>
          <w:p w14:paraId="0BD5F28A">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kern w:val="2"/>
                <w:sz w:val="24"/>
                <w:szCs w:val="24"/>
                <w:u w:val="none"/>
                <w:lang w:val="en-US" w:eastAsia="zh-CN" w:bidi="ar-SA"/>
              </w:rPr>
            </w:pPr>
            <w:r>
              <w:rPr>
                <w:rFonts w:hint="eastAsia" w:ascii="仿宋" w:hAnsi="仿宋" w:cs="仿宋"/>
                <w:i w:val="0"/>
                <w:iCs w:val="0"/>
                <w:kern w:val="2"/>
                <w:sz w:val="24"/>
                <w:szCs w:val="24"/>
                <w:u w:val="none"/>
                <w:lang w:val="en-US" w:eastAsia="zh-CN" w:bidi="ar-SA"/>
              </w:rPr>
              <w:t>2</w:t>
            </w:r>
          </w:p>
        </w:tc>
        <w:tc>
          <w:tcPr>
            <w:tcW w:w="3496" w:type="pct"/>
            <w:shd w:val="clear" w:color="auto" w:fill="auto"/>
            <w:vAlign w:val="center"/>
          </w:tcPr>
          <w:p w14:paraId="7645DEC4">
            <w:pPr>
              <w:keepNext w:val="0"/>
              <w:keepLines w:val="0"/>
              <w:pageBreakBefore w:val="0"/>
              <w:kinsoku/>
              <w:wordWrap/>
              <w:overflowPunct/>
              <w:topLinePunct w:val="0"/>
              <w:autoSpaceDE/>
              <w:autoSpaceDN/>
              <w:bidi w:val="0"/>
              <w:adjustRightInd w:val="0"/>
              <w:snapToGrid/>
              <w:spacing w:line="300" w:lineRule="exact"/>
              <w:ind w:firstLine="0" w:firstLineChars="0"/>
              <w:rPr>
                <w:rFonts w:hint="eastAsia" w:ascii="仿宋" w:hAnsi="仿宋" w:eastAsia="仿宋" w:cs="仿宋"/>
                <w:i w:val="0"/>
                <w:iCs w:val="0"/>
                <w:kern w:val="2"/>
                <w:sz w:val="24"/>
                <w:szCs w:val="24"/>
                <w:u w:val="none"/>
                <w:lang w:val="en-US" w:eastAsia="zh-CN" w:bidi="ar-SA"/>
              </w:rPr>
            </w:pPr>
            <w:r>
              <w:rPr>
                <w:rFonts w:hint="eastAsia" w:ascii="仿宋" w:hAnsi="仿宋" w:cs="仿宋"/>
                <w:i w:val="0"/>
                <w:iCs w:val="0"/>
                <w:sz w:val="24"/>
                <w:u w:val="none"/>
              </w:rPr>
              <w:t>毕业生对学院就业工作满意度较学校平均满意度每高1%，加0.5分，加满为止。</w:t>
            </w:r>
          </w:p>
        </w:tc>
      </w:tr>
      <w:tr w14:paraId="2820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trPr>
        <w:tc>
          <w:tcPr>
            <w:tcW w:w="510" w:type="pct"/>
            <w:vMerge w:val="restart"/>
            <w:shd w:val="clear" w:color="auto" w:fill="auto"/>
            <w:vAlign w:val="center"/>
          </w:tcPr>
          <w:p w14:paraId="6D16CE98">
            <w:pPr>
              <w:keepNext w:val="0"/>
              <w:keepLines w:val="0"/>
              <w:pageBreakBefore w:val="0"/>
              <w:kinsoku/>
              <w:wordWrap/>
              <w:overflowPunct/>
              <w:topLinePunct w:val="0"/>
              <w:autoSpaceDE/>
              <w:autoSpaceDN/>
              <w:bidi w:val="0"/>
              <w:adjustRightInd w:val="0"/>
              <w:snapToGrid/>
              <w:spacing w:line="300" w:lineRule="exact"/>
              <w:ind w:firstLine="0" w:firstLineChars="0"/>
              <w:jc w:val="both"/>
              <w:rPr>
                <w:rFonts w:hint="default" w:ascii="仿宋" w:hAnsi="仿宋" w:cs="仿宋"/>
                <w:i w:val="0"/>
                <w:iCs w:val="0"/>
                <w:kern w:val="0"/>
                <w:sz w:val="24"/>
                <w:u w:val="none"/>
                <w:lang w:val="en-US" w:eastAsia="zh-CN" w:bidi="ar"/>
              </w:rPr>
            </w:pPr>
            <w:r>
              <w:rPr>
                <w:rFonts w:hint="eastAsia" w:ascii="仿宋" w:hAnsi="仿宋" w:cs="仿宋"/>
                <w:i w:val="0"/>
                <w:iCs w:val="0"/>
                <w:kern w:val="0"/>
                <w:sz w:val="24"/>
                <w:u w:val="none"/>
                <w:lang w:val="en-US" w:eastAsia="zh-CN" w:bidi="ar"/>
              </w:rPr>
              <w:t>工作落实情 况</w:t>
            </w:r>
          </w:p>
        </w:tc>
        <w:tc>
          <w:tcPr>
            <w:tcW w:w="688" w:type="pct"/>
            <w:shd w:val="clear" w:color="auto" w:fill="auto"/>
            <w:vAlign w:val="center"/>
          </w:tcPr>
          <w:p w14:paraId="224398A9">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签约管理</w:t>
            </w:r>
          </w:p>
        </w:tc>
        <w:tc>
          <w:tcPr>
            <w:tcW w:w="304" w:type="pct"/>
            <w:shd w:val="clear" w:color="auto" w:fill="auto"/>
            <w:vAlign w:val="center"/>
          </w:tcPr>
          <w:p w14:paraId="27D7FD17">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cs="仿宋"/>
                <w:i w:val="0"/>
                <w:iCs w:val="0"/>
                <w:kern w:val="2"/>
                <w:sz w:val="24"/>
                <w:szCs w:val="24"/>
                <w:u w:val="none"/>
                <w:lang w:val="en-US" w:eastAsia="zh-CN" w:bidi="ar-SA"/>
              </w:rPr>
            </w:pPr>
            <w:r>
              <w:rPr>
                <w:rFonts w:hint="eastAsia" w:ascii="仿宋" w:hAnsi="仿宋" w:cs="仿宋"/>
                <w:i w:val="0"/>
                <w:iCs w:val="0"/>
                <w:kern w:val="2"/>
                <w:sz w:val="24"/>
                <w:szCs w:val="24"/>
                <w:u w:val="none"/>
                <w:lang w:val="en-US" w:eastAsia="zh-CN" w:bidi="ar-SA"/>
              </w:rPr>
              <w:t>2</w:t>
            </w:r>
          </w:p>
        </w:tc>
        <w:tc>
          <w:tcPr>
            <w:tcW w:w="3496" w:type="pct"/>
            <w:shd w:val="clear" w:color="auto" w:fill="auto"/>
            <w:vAlign w:val="center"/>
          </w:tcPr>
          <w:p w14:paraId="4F5AADFF">
            <w:pPr>
              <w:keepNext w:val="0"/>
              <w:keepLines w:val="0"/>
              <w:pageBreakBefore w:val="0"/>
              <w:kinsoku/>
              <w:wordWrap/>
              <w:overflowPunct/>
              <w:topLinePunct w:val="0"/>
              <w:autoSpaceDE/>
              <w:autoSpaceDN/>
              <w:bidi w:val="0"/>
              <w:adjustRightInd w:val="0"/>
              <w:snapToGrid/>
              <w:spacing w:line="300" w:lineRule="exact"/>
              <w:ind w:firstLine="0" w:firstLineChars="0"/>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违约率每较学校违约率</w:t>
            </w:r>
            <w:r>
              <w:rPr>
                <w:rFonts w:hint="eastAsia" w:ascii="仿宋" w:hAnsi="仿宋" w:cs="仿宋"/>
                <w:i w:val="0"/>
                <w:iCs w:val="0"/>
                <w:sz w:val="24"/>
                <w:u w:val="none"/>
              </w:rPr>
              <w:t>高1%减1分</w:t>
            </w:r>
            <w:r>
              <w:rPr>
                <w:rFonts w:hint="eastAsia" w:ascii="仿宋" w:hAnsi="仿宋" w:cs="仿宋"/>
                <w:i w:val="0"/>
                <w:iCs w:val="0"/>
                <w:sz w:val="24"/>
                <w:u w:val="none"/>
                <w:lang w:eastAsia="zh-CN"/>
              </w:rPr>
              <w:t>，</w:t>
            </w:r>
            <w:r>
              <w:rPr>
                <w:rFonts w:hint="eastAsia" w:ascii="仿宋" w:hAnsi="仿宋" w:cs="仿宋"/>
                <w:i w:val="0"/>
                <w:iCs w:val="0"/>
                <w:sz w:val="24"/>
                <w:u w:val="none"/>
                <w:lang w:val="en-US" w:eastAsia="zh-CN"/>
              </w:rPr>
              <w:t>不设下限</w:t>
            </w:r>
            <w:r>
              <w:rPr>
                <w:rFonts w:hint="eastAsia" w:ascii="仿宋" w:hAnsi="仿宋" w:cs="仿宋"/>
                <w:i w:val="0"/>
                <w:iCs w:val="0"/>
                <w:sz w:val="24"/>
                <w:u w:val="none"/>
              </w:rPr>
              <w:t>。</w:t>
            </w:r>
          </w:p>
        </w:tc>
      </w:tr>
      <w:tr w14:paraId="5359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10" w:type="pct"/>
            <w:vMerge w:val="continue"/>
            <w:shd w:val="clear" w:color="auto" w:fill="auto"/>
            <w:vAlign w:val="center"/>
          </w:tcPr>
          <w:p w14:paraId="4C393685">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kern w:val="0"/>
                <w:sz w:val="24"/>
                <w:u w:val="none"/>
                <w:lang w:val="en-US" w:eastAsia="zh-CN" w:bidi="ar"/>
              </w:rPr>
            </w:pPr>
          </w:p>
        </w:tc>
        <w:tc>
          <w:tcPr>
            <w:tcW w:w="688" w:type="pct"/>
            <w:vMerge w:val="restart"/>
            <w:shd w:val="clear" w:color="auto" w:fill="auto"/>
            <w:vAlign w:val="center"/>
          </w:tcPr>
          <w:p w14:paraId="0CB9B9BC">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cs="仿宋"/>
                <w:i w:val="0"/>
                <w:iCs w:val="0"/>
                <w:sz w:val="24"/>
                <w:u w:val="none"/>
                <w:lang w:val="en-US" w:eastAsia="zh-CN"/>
              </w:rPr>
            </w:pPr>
            <w:r>
              <w:rPr>
                <w:rFonts w:hint="eastAsia" w:ascii="仿宋" w:hAnsi="仿宋" w:cs="仿宋"/>
                <w:i w:val="0"/>
                <w:iCs w:val="0"/>
                <w:sz w:val="24"/>
                <w:u w:val="none"/>
                <w:lang w:val="en-US" w:eastAsia="zh-CN"/>
              </w:rPr>
              <w:t>就业</w:t>
            </w:r>
          </w:p>
          <w:p w14:paraId="603F8742">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cs="仿宋"/>
                <w:i w:val="0"/>
                <w:iCs w:val="0"/>
                <w:sz w:val="24"/>
                <w:u w:val="none"/>
                <w:lang w:val="en-US" w:eastAsia="zh-CN"/>
              </w:rPr>
            </w:pPr>
            <w:r>
              <w:rPr>
                <w:rFonts w:hint="eastAsia" w:ascii="仿宋" w:hAnsi="仿宋" w:cs="仿宋"/>
                <w:i w:val="0"/>
                <w:iCs w:val="0"/>
                <w:sz w:val="24"/>
                <w:u w:val="none"/>
                <w:lang w:val="en-US" w:eastAsia="zh-CN"/>
              </w:rPr>
              <w:t>创业</w:t>
            </w:r>
          </w:p>
          <w:p w14:paraId="2F2DB72D">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指导</w:t>
            </w:r>
          </w:p>
        </w:tc>
        <w:tc>
          <w:tcPr>
            <w:tcW w:w="304" w:type="pct"/>
            <w:shd w:val="clear" w:color="auto" w:fill="auto"/>
            <w:vAlign w:val="center"/>
          </w:tcPr>
          <w:p w14:paraId="50945A27">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cs="仿宋"/>
                <w:i w:val="0"/>
                <w:iCs w:val="0"/>
                <w:kern w:val="2"/>
                <w:sz w:val="24"/>
                <w:szCs w:val="24"/>
                <w:u w:val="none"/>
                <w:lang w:val="en-US" w:eastAsia="zh-CN" w:bidi="ar-SA"/>
              </w:rPr>
            </w:pPr>
            <w:r>
              <w:rPr>
                <w:rFonts w:hint="eastAsia" w:ascii="仿宋" w:hAnsi="仿宋" w:cs="仿宋"/>
                <w:i w:val="0"/>
                <w:iCs w:val="0"/>
                <w:kern w:val="2"/>
                <w:sz w:val="24"/>
                <w:szCs w:val="24"/>
                <w:u w:val="none"/>
                <w:lang w:val="en-US" w:eastAsia="zh-CN" w:bidi="ar-SA"/>
              </w:rPr>
              <w:t>2</w:t>
            </w:r>
          </w:p>
        </w:tc>
        <w:tc>
          <w:tcPr>
            <w:tcW w:w="3496" w:type="pct"/>
            <w:shd w:val="clear" w:color="auto" w:fill="auto"/>
            <w:vAlign w:val="center"/>
          </w:tcPr>
          <w:p w14:paraId="2B71BFCA">
            <w:pPr>
              <w:keepNext w:val="0"/>
              <w:keepLines w:val="0"/>
              <w:pageBreakBefore w:val="0"/>
              <w:kinsoku/>
              <w:wordWrap/>
              <w:overflowPunct/>
              <w:topLinePunct w:val="0"/>
              <w:autoSpaceDE/>
              <w:autoSpaceDN/>
              <w:bidi w:val="0"/>
              <w:adjustRightInd w:val="0"/>
              <w:snapToGrid/>
              <w:spacing w:line="300" w:lineRule="exact"/>
              <w:ind w:firstLine="0" w:firstLineChars="0"/>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报名参与第二届“新生代”职业规划大赛学生人数占学院总人数比例与30％相较，</w:t>
            </w:r>
            <w:r>
              <w:rPr>
                <w:rFonts w:hint="eastAsia" w:ascii="仿宋" w:hAnsi="仿宋" w:cs="仿宋"/>
                <w:i w:val="0"/>
                <w:iCs w:val="0"/>
                <w:sz w:val="24"/>
                <w:u w:val="none"/>
              </w:rPr>
              <w:t>每</w:t>
            </w:r>
            <w:r>
              <w:rPr>
                <w:rFonts w:hint="eastAsia" w:ascii="仿宋" w:hAnsi="仿宋" w:cs="仿宋"/>
                <w:i w:val="0"/>
                <w:iCs w:val="0"/>
                <w:sz w:val="24"/>
                <w:u w:val="none"/>
                <w:lang w:val="en-US" w:eastAsia="zh-CN"/>
              </w:rPr>
              <w:t>高/低</w:t>
            </w:r>
            <w:r>
              <w:rPr>
                <w:rFonts w:hint="eastAsia" w:ascii="仿宋" w:hAnsi="仿宋" w:cs="仿宋"/>
                <w:i w:val="0"/>
                <w:iCs w:val="0"/>
                <w:sz w:val="24"/>
                <w:u w:val="none"/>
              </w:rPr>
              <w:t>1%，</w:t>
            </w:r>
            <w:r>
              <w:rPr>
                <w:rFonts w:hint="eastAsia" w:ascii="仿宋" w:hAnsi="仿宋" w:cs="仿宋"/>
                <w:i w:val="0"/>
                <w:iCs w:val="0"/>
                <w:sz w:val="24"/>
                <w:u w:val="none"/>
                <w:lang w:val="en-US" w:eastAsia="zh-CN"/>
              </w:rPr>
              <w:t>加/减</w:t>
            </w:r>
            <w:r>
              <w:rPr>
                <w:rFonts w:hint="eastAsia" w:ascii="仿宋" w:hAnsi="仿宋" w:cs="仿宋"/>
                <w:i w:val="0"/>
                <w:iCs w:val="0"/>
                <w:sz w:val="24"/>
                <w:u w:val="none"/>
              </w:rPr>
              <w:t>0.</w:t>
            </w:r>
            <w:r>
              <w:rPr>
                <w:rFonts w:hint="eastAsia" w:ascii="仿宋" w:hAnsi="仿宋" w:cs="仿宋"/>
                <w:i w:val="0"/>
                <w:iCs w:val="0"/>
                <w:sz w:val="24"/>
                <w:u w:val="none"/>
                <w:lang w:val="en-US" w:eastAsia="zh-CN"/>
              </w:rPr>
              <w:t>1</w:t>
            </w:r>
            <w:r>
              <w:rPr>
                <w:rFonts w:hint="eastAsia" w:ascii="仿宋" w:hAnsi="仿宋" w:cs="仿宋"/>
                <w:i w:val="0"/>
                <w:iCs w:val="0"/>
                <w:sz w:val="24"/>
                <w:u w:val="none"/>
              </w:rPr>
              <w:t>分</w:t>
            </w:r>
            <w:r>
              <w:rPr>
                <w:rFonts w:hint="eastAsia" w:ascii="仿宋" w:hAnsi="仿宋" w:cs="仿宋"/>
                <w:i w:val="0"/>
                <w:iCs w:val="0"/>
                <w:sz w:val="24"/>
                <w:u w:val="none"/>
                <w:lang w:eastAsia="zh-CN"/>
              </w:rPr>
              <w:t>，</w:t>
            </w:r>
            <w:r>
              <w:rPr>
                <w:rFonts w:hint="eastAsia" w:ascii="仿宋" w:hAnsi="仿宋" w:cs="仿宋"/>
                <w:i w:val="0"/>
                <w:iCs w:val="0"/>
                <w:sz w:val="24"/>
                <w:u w:val="none"/>
                <w:lang w:val="en-US" w:eastAsia="zh-CN"/>
              </w:rPr>
              <w:t>加满/减满为止</w:t>
            </w:r>
            <w:r>
              <w:rPr>
                <w:rFonts w:hint="eastAsia" w:ascii="仿宋" w:hAnsi="仿宋" w:cs="仿宋"/>
                <w:i w:val="0"/>
                <w:iCs w:val="0"/>
                <w:sz w:val="24"/>
                <w:u w:val="none"/>
              </w:rPr>
              <w:t>。</w:t>
            </w:r>
          </w:p>
        </w:tc>
      </w:tr>
      <w:tr w14:paraId="3F27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1C807ABD">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cs="仿宋"/>
                <w:i w:val="0"/>
                <w:iCs w:val="0"/>
                <w:kern w:val="0"/>
                <w:sz w:val="24"/>
                <w:u w:val="none"/>
                <w:lang w:val="en-US" w:eastAsia="zh-CN" w:bidi="ar"/>
              </w:rPr>
            </w:pPr>
          </w:p>
        </w:tc>
        <w:tc>
          <w:tcPr>
            <w:tcW w:w="688" w:type="pct"/>
            <w:vMerge w:val="continue"/>
            <w:shd w:val="clear" w:color="auto" w:fill="auto"/>
            <w:vAlign w:val="center"/>
          </w:tcPr>
          <w:p w14:paraId="2C9B5ADE">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eastAsia="仿宋" w:cs="仿宋"/>
                <w:i w:val="0"/>
                <w:iCs w:val="0"/>
                <w:sz w:val="24"/>
                <w:u w:val="none"/>
                <w:lang w:val="en-US" w:eastAsia="zh-CN"/>
              </w:rPr>
            </w:pPr>
          </w:p>
        </w:tc>
        <w:tc>
          <w:tcPr>
            <w:tcW w:w="304" w:type="pct"/>
            <w:shd w:val="clear" w:color="auto" w:fill="auto"/>
            <w:vAlign w:val="center"/>
          </w:tcPr>
          <w:p w14:paraId="09EC5620">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cs="仿宋"/>
                <w:i w:val="0"/>
                <w:iCs w:val="0"/>
                <w:kern w:val="2"/>
                <w:sz w:val="24"/>
                <w:szCs w:val="24"/>
                <w:u w:val="none"/>
                <w:lang w:val="en-US" w:eastAsia="zh-CN" w:bidi="ar-SA"/>
              </w:rPr>
            </w:pPr>
            <w:r>
              <w:rPr>
                <w:rFonts w:hint="eastAsia" w:ascii="仿宋" w:hAnsi="仿宋" w:cs="仿宋"/>
                <w:i w:val="0"/>
                <w:iCs w:val="0"/>
                <w:kern w:val="2"/>
                <w:sz w:val="24"/>
                <w:szCs w:val="24"/>
                <w:u w:val="none"/>
                <w:lang w:val="en-US" w:eastAsia="zh-CN" w:bidi="ar-SA"/>
              </w:rPr>
              <w:t>4</w:t>
            </w:r>
          </w:p>
        </w:tc>
        <w:tc>
          <w:tcPr>
            <w:tcW w:w="3496" w:type="pct"/>
            <w:shd w:val="clear" w:color="auto" w:fill="auto"/>
            <w:vAlign w:val="center"/>
          </w:tcPr>
          <w:p w14:paraId="6025100F">
            <w:pPr>
              <w:keepNext w:val="0"/>
              <w:keepLines w:val="0"/>
              <w:pageBreakBefore w:val="0"/>
              <w:kinsoku/>
              <w:wordWrap/>
              <w:overflowPunct/>
              <w:topLinePunct w:val="0"/>
              <w:autoSpaceDE/>
              <w:autoSpaceDN/>
              <w:bidi w:val="0"/>
              <w:adjustRightInd w:val="0"/>
              <w:snapToGrid/>
              <w:spacing w:line="300" w:lineRule="exact"/>
              <w:ind w:firstLine="0" w:firstLineChars="0"/>
              <w:rPr>
                <w:rFonts w:hint="default" w:ascii="仿宋" w:hAnsi="仿宋" w:eastAsia="仿宋" w:cs="仿宋"/>
                <w:i w:val="0"/>
                <w:iCs w:val="0"/>
                <w:sz w:val="24"/>
                <w:u w:val="none"/>
                <w:lang w:val="en-US" w:eastAsia="zh-CN"/>
              </w:rPr>
            </w:pPr>
            <w:r>
              <w:rPr>
                <w:rFonts w:hint="eastAsia" w:ascii="仿宋" w:hAnsi="仿宋" w:cs="仿宋"/>
                <w:i w:val="0"/>
                <w:iCs w:val="0"/>
                <w:sz w:val="24"/>
                <w:u w:val="none"/>
                <w:lang w:val="en-US" w:eastAsia="zh-CN"/>
              </w:rPr>
              <w:t>全国大学生职业规划大赛/中国国际大学生创新大赛北京市赛及国赛中获奖，北京市金奖每人0.5分，全国铜奖每人1分，全国银奖每人1.5分，全国金奖每人2分，单人计最高分，</w:t>
            </w:r>
            <w:r>
              <w:rPr>
                <w:rFonts w:hint="eastAsia" w:ascii="仿宋" w:hAnsi="仿宋" w:cs="仿宋"/>
                <w:i w:val="0"/>
                <w:iCs w:val="0"/>
                <w:sz w:val="24"/>
                <w:u w:val="none"/>
              </w:rPr>
              <w:t>加满为止</w:t>
            </w:r>
            <w:r>
              <w:rPr>
                <w:rFonts w:hint="eastAsia" w:ascii="仿宋" w:hAnsi="仿宋" w:cs="仿宋"/>
                <w:i w:val="0"/>
                <w:iCs w:val="0"/>
                <w:sz w:val="24"/>
                <w:u w:val="none"/>
                <w:lang w:val="en-US" w:eastAsia="zh-CN"/>
              </w:rPr>
              <w:t>。</w:t>
            </w:r>
          </w:p>
        </w:tc>
      </w:tr>
      <w:tr w14:paraId="2ADD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54F09541">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cs="仿宋"/>
                <w:i w:val="0"/>
                <w:iCs w:val="0"/>
                <w:kern w:val="0"/>
                <w:sz w:val="24"/>
                <w:u w:val="none"/>
                <w:lang w:val="en-US" w:eastAsia="zh-CN" w:bidi="ar"/>
              </w:rPr>
            </w:pPr>
          </w:p>
        </w:tc>
        <w:tc>
          <w:tcPr>
            <w:tcW w:w="688" w:type="pct"/>
            <w:vMerge w:val="restart"/>
            <w:shd w:val="clear" w:color="auto" w:fill="auto"/>
            <w:vAlign w:val="center"/>
          </w:tcPr>
          <w:p w14:paraId="057E0026">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cs="仿宋"/>
                <w:i w:val="0"/>
                <w:iCs w:val="0"/>
                <w:sz w:val="24"/>
                <w:u w:val="none"/>
                <w:lang w:val="en-US" w:eastAsia="zh-CN"/>
              </w:rPr>
            </w:pPr>
            <w:r>
              <w:rPr>
                <w:rFonts w:hint="eastAsia" w:ascii="仿宋" w:hAnsi="仿宋" w:cs="仿宋"/>
                <w:i w:val="0"/>
                <w:iCs w:val="0"/>
                <w:sz w:val="24"/>
                <w:u w:val="none"/>
                <w:lang w:val="en-US" w:eastAsia="zh-CN"/>
              </w:rPr>
              <w:t>就业市场拓展</w:t>
            </w:r>
          </w:p>
        </w:tc>
        <w:tc>
          <w:tcPr>
            <w:tcW w:w="304" w:type="pct"/>
            <w:shd w:val="clear" w:color="auto" w:fill="auto"/>
            <w:vAlign w:val="center"/>
          </w:tcPr>
          <w:p w14:paraId="7E6A41EA">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cs="仿宋"/>
                <w:i w:val="0"/>
                <w:iCs w:val="0"/>
                <w:kern w:val="2"/>
                <w:sz w:val="24"/>
                <w:szCs w:val="24"/>
                <w:u w:val="none"/>
                <w:lang w:val="en-US" w:eastAsia="zh-CN" w:bidi="ar-SA"/>
              </w:rPr>
            </w:pPr>
            <w:r>
              <w:rPr>
                <w:rFonts w:hint="eastAsia" w:ascii="仿宋" w:hAnsi="仿宋" w:cs="仿宋"/>
                <w:i w:val="0"/>
                <w:iCs w:val="0"/>
                <w:kern w:val="2"/>
                <w:sz w:val="24"/>
                <w:szCs w:val="24"/>
                <w:u w:val="none"/>
                <w:lang w:val="en-US" w:eastAsia="zh-CN" w:bidi="ar-SA"/>
              </w:rPr>
              <w:t>2</w:t>
            </w:r>
          </w:p>
        </w:tc>
        <w:tc>
          <w:tcPr>
            <w:tcW w:w="3496" w:type="pct"/>
            <w:shd w:val="clear" w:color="auto" w:fill="auto"/>
            <w:vAlign w:val="center"/>
          </w:tcPr>
          <w:p w14:paraId="292BED13">
            <w:pPr>
              <w:keepNext w:val="0"/>
              <w:keepLines w:val="0"/>
              <w:pageBreakBefore w:val="0"/>
              <w:kinsoku/>
              <w:wordWrap/>
              <w:overflowPunct/>
              <w:topLinePunct w:val="0"/>
              <w:autoSpaceDE/>
              <w:autoSpaceDN/>
              <w:bidi w:val="0"/>
              <w:adjustRightInd w:val="0"/>
              <w:snapToGrid/>
              <w:spacing w:line="300" w:lineRule="exact"/>
              <w:ind w:firstLine="0" w:firstLineChars="0"/>
              <w:rPr>
                <w:rFonts w:hint="default" w:ascii="仿宋" w:hAnsi="仿宋" w:cs="仿宋"/>
                <w:i w:val="0"/>
                <w:iCs w:val="0"/>
                <w:sz w:val="24"/>
                <w:u w:val="none"/>
                <w:lang w:val="en-US" w:eastAsia="zh-CN"/>
              </w:rPr>
            </w:pPr>
            <w:r>
              <w:rPr>
                <w:rFonts w:hint="eastAsia" w:ascii="仿宋" w:hAnsi="仿宋" w:cs="仿宋"/>
                <w:i w:val="0"/>
                <w:iCs w:val="0"/>
                <w:sz w:val="24"/>
                <w:u w:val="none"/>
                <w:lang w:val="en-US" w:eastAsia="zh-CN"/>
              </w:rPr>
              <w:t>用人单位走访。毕业生200人以上的学院，走访不少于10家用人单位（其中京外单位不少于5家）；毕业生200人以下的学院，走访不少于6家用人单位（其中京外单位不少于3家）。每少1家，减0.5分，不设下限。</w:t>
            </w:r>
          </w:p>
        </w:tc>
      </w:tr>
      <w:tr w14:paraId="38AC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510" w:type="pct"/>
            <w:vMerge w:val="continue"/>
            <w:shd w:val="clear" w:color="auto" w:fill="auto"/>
            <w:vAlign w:val="center"/>
          </w:tcPr>
          <w:p w14:paraId="5AC20B64">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eastAsia" w:ascii="仿宋" w:hAnsi="仿宋" w:cs="仿宋"/>
                <w:i w:val="0"/>
                <w:iCs w:val="0"/>
                <w:kern w:val="0"/>
                <w:sz w:val="24"/>
                <w:u w:val="none"/>
                <w:lang w:val="en-US" w:eastAsia="zh-CN" w:bidi="ar"/>
              </w:rPr>
            </w:pPr>
          </w:p>
        </w:tc>
        <w:tc>
          <w:tcPr>
            <w:tcW w:w="688" w:type="pct"/>
            <w:vMerge w:val="continue"/>
            <w:shd w:val="clear" w:color="auto" w:fill="auto"/>
            <w:vAlign w:val="center"/>
          </w:tcPr>
          <w:p w14:paraId="24CB8420">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cs="仿宋"/>
                <w:i w:val="0"/>
                <w:iCs w:val="0"/>
                <w:sz w:val="24"/>
                <w:u w:val="none"/>
                <w:lang w:val="en-US" w:eastAsia="zh-CN"/>
              </w:rPr>
            </w:pPr>
          </w:p>
        </w:tc>
        <w:tc>
          <w:tcPr>
            <w:tcW w:w="304" w:type="pct"/>
            <w:shd w:val="clear" w:color="auto" w:fill="auto"/>
            <w:vAlign w:val="center"/>
          </w:tcPr>
          <w:p w14:paraId="02102349">
            <w:pPr>
              <w:keepNext w:val="0"/>
              <w:keepLines w:val="0"/>
              <w:pageBreakBefore w:val="0"/>
              <w:kinsoku/>
              <w:wordWrap/>
              <w:overflowPunct/>
              <w:topLinePunct w:val="0"/>
              <w:autoSpaceDE/>
              <w:autoSpaceDN/>
              <w:bidi w:val="0"/>
              <w:adjustRightInd w:val="0"/>
              <w:snapToGrid/>
              <w:spacing w:line="300" w:lineRule="exact"/>
              <w:ind w:firstLine="0" w:firstLineChars="0"/>
              <w:jc w:val="center"/>
              <w:rPr>
                <w:rFonts w:hint="default" w:ascii="仿宋" w:hAnsi="仿宋" w:cs="仿宋"/>
                <w:i w:val="0"/>
                <w:iCs w:val="0"/>
                <w:kern w:val="2"/>
                <w:sz w:val="24"/>
                <w:szCs w:val="24"/>
                <w:u w:val="none"/>
                <w:lang w:val="en-US" w:eastAsia="zh-CN" w:bidi="ar-SA"/>
              </w:rPr>
            </w:pPr>
            <w:r>
              <w:rPr>
                <w:rFonts w:hint="eastAsia" w:ascii="仿宋" w:hAnsi="仿宋" w:cs="仿宋"/>
                <w:i w:val="0"/>
                <w:iCs w:val="0"/>
                <w:kern w:val="2"/>
                <w:sz w:val="24"/>
                <w:szCs w:val="24"/>
                <w:u w:val="none"/>
                <w:lang w:val="en-US" w:eastAsia="zh-CN" w:bidi="ar-SA"/>
              </w:rPr>
              <w:t>2</w:t>
            </w:r>
          </w:p>
        </w:tc>
        <w:tc>
          <w:tcPr>
            <w:tcW w:w="3496" w:type="pct"/>
            <w:shd w:val="clear" w:color="auto" w:fill="auto"/>
            <w:vAlign w:val="center"/>
          </w:tcPr>
          <w:p w14:paraId="03EE15CF">
            <w:pPr>
              <w:keepNext w:val="0"/>
              <w:keepLines w:val="0"/>
              <w:pageBreakBefore w:val="0"/>
              <w:kinsoku/>
              <w:wordWrap/>
              <w:overflowPunct/>
              <w:topLinePunct w:val="0"/>
              <w:autoSpaceDE/>
              <w:autoSpaceDN/>
              <w:bidi w:val="0"/>
              <w:adjustRightInd w:val="0"/>
              <w:snapToGrid/>
              <w:spacing w:line="300" w:lineRule="exact"/>
              <w:ind w:firstLine="0" w:firstLineChars="0"/>
              <w:rPr>
                <w:rFonts w:hint="eastAsia" w:ascii="仿宋" w:hAnsi="仿宋" w:cs="仿宋"/>
                <w:i w:val="0"/>
                <w:iCs w:val="0"/>
                <w:sz w:val="24"/>
                <w:u w:val="none"/>
                <w:lang w:val="en-US" w:eastAsia="zh-CN"/>
              </w:rPr>
            </w:pPr>
            <w:r>
              <w:rPr>
                <w:rFonts w:hint="eastAsia" w:ascii="仿宋" w:hAnsi="仿宋" w:cs="仿宋"/>
                <w:i w:val="0"/>
                <w:iCs w:val="0"/>
                <w:sz w:val="24"/>
                <w:u w:val="none"/>
                <w:lang w:val="en-US" w:eastAsia="zh-CN"/>
              </w:rPr>
              <w:t>举办院级双选会。各学院针对应届毕业生要独立或联合其他学院举办至少一场专场双选会。未达成则不得分。</w:t>
            </w:r>
          </w:p>
        </w:tc>
      </w:tr>
      <w:tr w14:paraId="11DB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503" w:type="pct"/>
            <w:gridSpan w:val="3"/>
            <w:tcBorders>
              <w:tl2br w:val="nil"/>
              <w:tr2bl w:val="nil"/>
            </w:tcBorders>
            <w:shd w:val="clear" w:color="auto" w:fill="auto"/>
            <w:vAlign w:val="center"/>
          </w:tcPr>
          <w:p w14:paraId="0CE22257">
            <w:pPr>
              <w:keepNext w:val="0"/>
              <w:keepLines w:val="0"/>
              <w:pageBreakBefore w:val="0"/>
              <w:kinsoku/>
              <w:wordWrap/>
              <w:overflowPunct/>
              <w:topLinePunct w:val="0"/>
              <w:autoSpaceDE/>
              <w:autoSpaceDN/>
              <w:bidi w:val="0"/>
              <w:snapToGrid/>
              <w:spacing w:line="300" w:lineRule="exact"/>
              <w:ind w:firstLine="0" w:firstLineChars="0"/>
              <w:jc w:val="center"/>
              <w:rPr>
                <w:rFonts w:hint="eastAsia" w:ascii="仿宋" w:hAnsi="仿宋" w:eastAsia="仿宋" w:cs="仿宋"/>
                <w:i w:val="0"/>
                <w:iCs w:val="0"/>
                <w:kern w:val="2"/>
                <w:sz w:val="24"/>
                <w:szCs w:val="24"/>
                <w:u w:val="none"/>
                <w:lang w:val="en-US" w:eastAsia="zh-CN" w:bidi="ar-SA"/>
              </w:rPr>
            </w:pPr>
            <w:r>
              <w:rPr>
                <w:rFonts w:hint="eastAsia" w:ascii="仿宋" w:hAnsi="仿宋" w:cs="仿宋"/>
                <w:i w:val="0"/>
                <w:iCs w:val="0"/>
                <w:sz w:val="24"/>
                <w:u w:val="none"/>
                <w:lang w:val="en-US" w:eastAsia="zh-CN"/>
              </w:rPr>
              <w:t>学院年度就业落实情况贡献</w:t>
            </w:r>
          </w:p>
        </w:tc>
        <w:tc>
          <w:tcPr>
            <w:tcW w:w="3496" w:type="pct"/>
            <w:tcBorders>
              <w:tl2br w:val="nil"/>
              <w:tr2bl w:val="nil"/>
            </w:tcBorders>
            <w:shd w:val="clear" w:color="auto" w:fill="auto"/>
            <w:vAlign w:val="center"/>
          </w:tcPr>
          <w:p w14:paraId="24DB8E75">
            <w:pPr>
              <w:keepNext w:val="0"/>
              <w:keepLines w:val="0"/>
              <w:pageBreakBefore w:val="0"/>
              <w:widowControl/>
              <w:kinsoku/>
              <w:wordWrap/>
              <w:overflowPunct/>
              <w:topLinePunct w:val="0"/>
              <w:autoSpaceDE/>
              <w:autoSpaceDN/>
              <w:bidi w:val="0"/>
              <w:snapToGrid/>
              <w:spacing w:line="300" w:lineRule="exact"/>
              <w:ind w:firstLine="0" w:firstLineChars="0"/>
              <w:textAlignment w:val="center"/>
              <w:rPr>
                <w:rFonts w:hint="default" w:ascii="仿宋" w:hAnsi="仿宋" w:cs="仿宋"/>
                <w:i w:val="0"/>
                <w:iCs w:val="0"/>
                <w:sz w:val="24"/>
                <w:u w:val="none"/>
                <w:lang w:val="en-US"/>
              </w:rPr>
            </w:pPr>
            <w:r>
              <w:rPr>
                <w:rFonts w:hint="eastAsia" w:ascii="仿宋" w:hAnsi="仿宋" w:cs="仿宋"/>
                <w:i w:val="0"/>
                <w:iCs w:val="0"/>
                <w:sz w:val="24"/>
                <w:u w:val="none"/>
                <w:lang w:val="en-US" w:eastAsia="zh-CN"/>
              </w:rPr>
              <w:t>学院年度就业落实情况贡献度=100*年度学院落实就业人数/学校整体落实就业人数比例，不设上限。</w:t>
            </w:r>
          </w:p>
        </w:tc>
      </w:tr>
    </w:tbl>
    <w:p w14:paraId="65F69233">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pPr>
      <w:bookmarkStart w:id="0" w:name="_GoBack"/>
      <w:bookmarkEnd w:id="0"/>
    </w:p>
    <w:sectPr>
      <w:pgSz w:w="11906" w:h="16838"/>
      <w:pgMar w:top="873" w:right="1800" w:bottom="873"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jNkNTQxZmRiNTZkNDg4Y2FhYzIzOTEwMmI1NWUifQ=="/>
  </w:docVars>
  <w:rsids>
    <w:rsidRoot w:val="57AD55B9"/>
    <w:rsid w:val="245570FD"/>
    <w:rsid w:val="25DE1426"/>
    <w:rsid w:val="2B83775C"/>
    <w:rsid w:val="32B3376F"/>
    <w:rsid w:val="4ABB7249"/>
    <w:rsid w:val="57AD55B9"/>
    <w:rsid w:val="664A5B36"/>
    <w:rsid w:val="75C722C8"/>
    <w:rsid w:val="7776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eastAsia="仿宋"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2"/>
    <w:basedOn w:val="3"/>
    <w:qFormat/>
    <w:uiPriority w:val="0"/>
    <w:rPr>
      <w:rFonts w:hint="eastAsia" w:ascii="宋体" w:hAnsi="宋体" w:eastAsia="宋体" w:cs="宋体"/>
      <w:b/>
      <w:bCs/>
      <w:color w:val="000000"/>
      <w:sz w:val="24"/>
      <w:szCs w:val="24"/>
      <w:u w:val="none"/>
    </w:rPr>
  </w:style>
  <w:style w:type="character" w:customStyle="1" w:styleId="5">
    <w:name w:val="font121"/>
    <w:basedOn w:val="3"/>
    <w:qFormat/>
    <w:uiPriority w:val="0"/>
    <w:rPr>
      <w:rFonts w:hint="default" w:ascii="Times New Roman" w:hAnsi="Times New Roman" w:cs="Times New Roman"/>
      <w:color w:val="FF0000"/>
      <w:sz w:val="24"/>
      <w:szCs w:val="24"/>
      <w:u w:val="none"/>
    </w:rPr>
  </w:style>
  <w:style w:type="character" w:customStyle="1" w:styleId="6">
    <w:name w:val="font41"/>
    <w:basedOn w:val="3"/>
    <w:qFormat/>
    <w:uiPriority w:val="0"/>
    <w:rPr>
      <w:rFonts w:hint="eastAsia" w:ascii="宋体" w:hAnsi="宋体" w:eastAsia="宋体" w:cs="宋体"/>
      <w:color w:val="000000"/>
      <w:sz w:val="24"/>
      <w:szCs w:val="24"/>
      <w:u w:val="none"/>
    </w:rPr>
  </w:style>
  <w:style w:type="character" w:customStyle="1" w:styleId="7">
    <w:name w:val="font5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1057</Words>
  <Characters>1119</Characters>
  <Lines>0</Lines>
  <Paragraphs>0</Paragraphs>
  <TotalTime>194</TotalTime>
  <ScaleCrop>false</ScaleCrop>
  <LinksUpToDate>false</LinksUpToDate>
  <CharactersWithSpaces>1120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2021-12-06T10:16:00Z</dcterms:created>
  <dc:creator>于琦</dc:creator>
  <cp:lastModifiedBy>yuqi</cp:lastModifiedBy>
  <cp:lastPrinted>2024-12-17T04:08:00Z</cp:lastPrinted>
  <dcterms:modified xsi:type="dcterms:W3CDTF">2024-12-25T08:28:52Z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4098047B3F3343BFA72DDF89F9104745</vt:lpwstr>
  </property>
</Properties>
</file>