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8F89B">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中国地质大学（北京）经济管理学院</w:t>
      </w:r>
    </w:p>
    <w:p w14:paraId="16B08EAF">
      <w:pPr>
        <w:pStyle w:val="2"/>
        <w:shd w:val="clear" w:color="auto" w:fill="FFFFFF"/>
        <w:spacing w:before="0" w:beforeAutospacing="0" w:after="0" w:afterAutospacing="0"/>
        <w:jc w:val="center"/>
        <w:rPr>
          <w:rFonts w:hint="eastAsia" w:ascii="仿宋" w:hAnsi="仿宋" w:eastAsia="仿宋"/>
          <w:color w:val="333333"/>
          <w:sz w:val="36"/>
          <w:szCs w:val="36"/>
          <w:lang w:val="en-US" w:eastAsia="zh-CN"/>
        </w:rPr>
      </w:pPr>
      <w:r>
        <w:rPr>
          <w:rFonts w:hint="eastAsia" w:ascii="仿宋" w:hAnsi="仿宋" w:eastAsia="仿宋"/>
          <w:color w:val="333333"/>
          <w:sz w:val="36"/>
          <w:szCs w:val="36"/>
        </w:rPr>
        <w:t>2025年硕士研究生接收调剂公告</w:t>
      </w:r>
      <w:r>
        <w:rPr>
          <w:rFonts w:hint="eastAsia" w:ascii="仿宋" w:hAnsi="仿宋" w:eastAsia="仿宋"/>
          <w:color w:val="333333"/>
          <w:sz w:val="36"/>
          <w:szCs w:val="36"/>
          <w:lang w:eastAsia="zh-CN"/>
        </w:rPr>
        <w:t>（</w:t>
      </w:r>
      <w:r>
        <w:rPr>
          <w:rFonts w:hint="eastAsia" w:ascii="仿宋" w:hAnsi="仿宋" w:eastAsia="仿宋"/>
          <w:color w:val="333333"/>
          <w:sz w:val="36"/>
          <w:szCs w:val="36"/>
          <w:lang w:val="en-US" w:eastAsia="zh-CN"/>
        </w:rPr>
        <w:t>第三批</w:t>
      </w:r>
      <w:r>
        <w:rPr>
          <w:rFonts w:hint="eastAsia" w:ascii="仿宋" w:hAnsi="仿宋" w:eastAsia="仿宋"/>
          <w:color w:val="333333"/>
          <w:sz w:val="36"/>
          <w:szCs w:val="36"/>
          <w:lang w:eastAsia="zh-CN"/>
        </w:rPr>
        <w:t>）</w:t>
      </w:r>
    </w:p>
    <w:p w14:paraId="617AA17C">
      <w:pPr>
        <w:widowControl/>
        <w:shd w:val="clear" w:color="auto" w:fill="FFFFFF"/>
        <w:spacing w:line="360" w:lineRule="atLeast"/>
        <w:ind w:firstLine="560" w:firstLineChars="200"/>
        <w:rPr>
          <w:rFonts w:ascii="仿宋" w:hAnsi="仿宋" w:eastAsia="仿宋"/>
          <w:color w:val="000000"/>
          <w:kern w:val="0"/>
          <w:sz w:val="28"/>
          <w:szCs w:val="28"/>
          <w:shd w:val="clear" w:color="auto" w:fill="FFFFFF"/>
        </w:rPr>
      </w:pPr>
      <w:r>
        <w:rPr>
          <w:rFonts w:hint="eastAsia" w:ascii="仿宋" w:hAnsi="仿宋" w:eastAsia="仿宋"/>
          <w:color w:val="000000"/>
          <w:kern w:val="0"/>
          <w:sz w:val="28"/>
          <w:szCs w:val="28"/>
          <w:shd w:val="clear" w:color="auto" w:fill="FFFFFF"/>
        </w:rPr>
        <w:t>根据教育部和北京市教育考试院相关文件要求，结合我院2025年硕士研究生招生计划和</w:t>
      </w:r>
      <w:r>
        <w:rPr>
          <w:rFonts w:hint="eastAsia" w:ascii="仿宋" w:hAnsi="仿宋" w:eastAsia="仿宋"/>
          <w:color w:val="000000"/>
          <w:kern w:val="0"/>
          <w:sz w:val="28"/>
          <w:szCs w:val="28"/>
          <w:shd w:val="clear" w:color="auto" w:fill="FFFFFF"/>
          <w:lang w:val="en-US" w:eastAsia="zh-CN"/>
        </w:rPr>
        <w:t>录取</w:t>
      </w:r>
      <w:r>
        <w:rPr>
          <w:rFonts w:hint="eastAsia" w:ascii="仿宋" w:hAnsi="仿宋" w:eastAsia="仿宋"/>
          <w:color w:val="000000"/>
          <w:kern w:val="0"/>
          <w:sz w:val="28"/>
          <w:szCs w:val="28"/>
          <w:shd w:val="clear" w:color="auto" w:fill="FFFFFF"/>
        </w:rPr>
        <w:t>情况，现公布2025年硕士研究生拟调剂信息，欢迎有意向调剂我院的考生密切关注我校研究生招生网站和经济管理学院网站。</w:t>
      </w:r>
    </w:p>
    <w:p w14:paraId="17CC20D6">
      <w:pPr>
        <w:widowControl/>
        <w:shd w:val="clear" w:color="auto" w:fill="FFFFFF"/>
        <w:spacing w:line="360" w:lineRule="atLeast"/>
        <w:rPr>
          <w:rFonts w:ascii="仿宋" w:hAnsi="仿宋" w:eastAsia="仿宋"/>
          <w:b/>
          <w:bCs/>
          <w:color w:val="000000"/>
          <w:kern w:val="0"/>
          <w:sz w:val="32"/>
          <w:szCs w:val="32"/>
        </w:rPr>
      </w:pPr>
      <w:r>
        <w:rPr>
          <w:rFonts w:hint="eastAsia" w:ascii="仿宋" w:hAnsi="仿宋" w:eastAsia="仿宋"/>
          <w:b/>
          <w:bCs/>
          <w:color w:val="000000"/>
          <w:kern w:val="0"/>
          <w:sz w:val="32"/>
          <w:szCs w:val="32"/>
        </w:rPr>
        <w:t>一、拟接收调剂专业、指标和分数线</w:t>
      </w:r>
    </w:p>
    <w:tbl>
      <w:tblPr>
        <w:tblStyle w:val="6"/>
        <w:tblW w:w="8152"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15" w:type="dxa"/>
          <w:left w:w="15" w:type="dxa"/>
          <w:bottom w:w="15" w:type="dxa"/>
          <w:right w:w="15" w:type="dxa"/>
        </w:tblCellMar>
      </w:tblPr>
      <w:tblGrid>
        <w:gridCol w:w="1170"/>
        <w:gridCol w:w="921"/>
        <w:gridCol w:w="936"/>
        <w:gridCol w:w="1289"/>
        <w:gridCol w:w="1529"/>
        <w:gridCol w:w="1534"/>
        <w:gridCol w:w="773"/>
      </w:tblGrid>
      <w:tr w14:paraId="1B6ED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450" w:hRule="atLeast"/>
        </w:trPr>
        <w:tc>
          <w:tcPr>
            <w:tcW w:w="1170" w:type="dxa"/>
            <w:vMerge w:val="restart"/>
            <w:shd w:val="clear" w:color="auto" w:fill="FFFFFF"/>
            <w:tcMar>
              <w:top w:w="0" w:type="dxa"/>
              <w:left w:w="108" w:type="dxa"/>
              <w:bottom w:w="0" w:type="dxa"/>
              <w:right w:w="108" w:type="dxa"/>
            </w:tcMar>
          </w:tcPr>
          <w:p w14:paraId="3D4F2C33">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学习方式</w:t>
            </w:r>
          </w:p>
        </w:tc>
        <w:tc>
          <w:tcPr>
            <w:tcW w:w="921" w:type="dxa"/>
            <w:vMerge w:val="restart"/>
            <w:shd w:val="clear" w:color="auto" w:fill="FFFFFF"/>
            <w:tcMar>
              <w:top w:w="0" w:type="dxa"/>
              <w:left w:w="108" w:type="dxa"/>
              <w:bottom w:w="0" w:type="dxa"/>
              <w:right w:w="108" w:type="dxa"/>
            </w:tcMar>
          </w:tcPr>
          <w:p w14:paraId="636FF23F">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类型</w:t>
            </w:r>
          </w:p>
        </w:tc>
        <w:tc>
          <w:tcPr>
            <w:tcW w:w="936" w:type="dxa"/>
            <w:vMerge w:val="restart"/>
            <w:shd w:val="clear" w:color="auto" w:fill="FFFFFF"/>
            <w:tcMar>
              <w:top w:w="0" w:type="dxa"/>
              <w:left w:w="108" w:type="dxa"/>
              <w:bottom w:w="0" w:type="dxa"/>
              <w:right w:w="108" w:type="dxa"/>
            </w:tcMar>
          </w:tcPr>
          <w:p w14:paraId="5C3D794B">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接收调剂方向</w:t>
            </w:r>
          </w:p>
        </w:tc>
        <w:tc>
          <w:tcPr>
            <w:tcW w:w="1289" w:type="dxa"/>
            <w:vMerge w:val="restart"/>
            <w:shd w:val="clear" w:color="auto" w:fill="FFFFFF"/>
            <w:tcMar>
              <w:top w:w="0" w:type="dxa"/>
              <w:left w:w="108" w:type="dxa"/>
              <w:bottom w:w="0" w:type="dxa"/>
              <w:right w:w="108" w:type="dxa"/>
            </w:tcMar>
          </w:tcPr>
          <w:p w14:paraId="10C5BF6C">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拟接收调剂指标</w:t>
            </w:r>
          </w:p>
        </w:tc>
        <w:tc>
          <w:tcPr>
            <w:tcW w:w="3836" w:type="dxa"/>
            <w:gridSpan w:val="3"/>
            <w:shd w:val="clear" w:color="auto" w:fill="FFFFFF"/>
            <w:tcMar>
              <w:top w:w="0" w:type="dxa"/>
              <w:left w:w="108" w:type="dxa"/>
              <w:bottom w:w="0" w:type="dxa"/>
              <w:right w:w="108" w:type="dxa"/>
            </w:tcMar>
          </w:tcPr>
          <w:p w14:paraId="0F8C0413">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调剂分数线</w:t>
            </w:r>
          </w:p>
        </w:tc>
      </w:tr>
      <w:tr w14:paraId="34702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643" w:hRule="atLeast"/>
        </w:trPr>
        <w:tc>
          <w:tcPr>
            <w:tcW w:w="1170" w:type="dxa"/>
            <w:vMerge w:val="continue"/>
            <w:shd w:val="clear" w:color="auto" w:fill="FFFFFF"/>
            <w:tcMar>
              <w:top w:w="0" w:type="dxa"/>
              <w:left w:w="108" w:type="dxa"/>
              <w:bottom w:w="0" w:type="dxa"/>
              <w:right w:w="108" w:type="dxa"/>
            </w:tcMar>
          </w:tcPr>
          <w:p w14:paraId="2244CFFE">
            <w:pPr>
              <w:widowControl/>
              <w:spacing w:line="360" w:lineRule="atLeast"/>
            </w:pPr>
          </w:p>
        </w:tc>
        <w:tc>
          <w:tcPr>
            <w:tcW w:w="921" w:type="dxa"/>
            <w:vMerge w:val="continue"/>
            <w:shd w:val="clear" w:color="auto" w:fill="FFFFFF"/>
            <w:tcMar>
              <w:top w:w="0" w:type="dxa"/>
              <w:left w:w="108" w:type="dxa"/>
              <w:bottom w:w="0" w:type="dxa"/>
              <w:right w:w="108" w:type="dxa"/>
            </w:tcMar>
          </w:tcPr>
          <w:p w14:paraId="25A78FBE">
            <w:pPr>
              <w:widowControl/>
              <w:spacing w:line="360" w:lineRule="atLeast"/>
            </w:pPr>
          </w:p>
        </w:tc>
        <w:tc>
          <w:tcPr>
            <w:tcW w:w="936" w:type="dxa"/>
            <w:vMerge w:val="continue"/>
            <w:shd w:val="clear" w:color="auto" w:fill="FFFFFF"/>
            <w:tcMar>
              <w:top w:w="0" w:type="dxa"/>
              <w:left w:w="108" w:type="dxa"/>
              <w:bottom w:w="0" w:type="dxa"/>
              <w:right w:w="108" w:type="dxa"/>
            </w:tcMar>
          </w:tcPr>
          <w:p w14:paraId="12245A4F">
            <w:pPr>
              <w:widowControl/>
              <w:spacing w:line="360" w:lineRule="atLeast"/>
            </w:pPr>
          </w:p>
        </w:tc>
        <w:tc>
          <w:tcPr>
            <w:tcW w:w="1289" w:type="dxa"/>
            <w:vMerge w:val="continue"/>
            <w:shd w:val="clear" w:color="auto" w:fill="FFFFFF"/>
            <w:tcMar>
              <w:top w:w="0" w:type="dxa"/>
              <w:left w:w="108" w:type="dxa"/>
              <w:bottom w:w="0" w:type="dxa"/>
              <w:right w:w="108" w:type="dxa"/>
            </w:tcMar>
          </w:tcPr>
          <w:p w14:paraId="06876998">
            <w:pPr>
              <w:widowControl/>
              <w:spacing w:line="360" w:lineRule="atLeast"/>
              <w:jc w:val="center"/>
              <w:rPr>
                <w:rFonts w:ascii="仿宋" w:hAnsi="仿宋" w:eastAsia="仿宋"/>
                <w:color w:val="333333"/>
                <w:kern w:val="0"/>
                <w:sz w:val="24"/>
                <w:szCs w:val="24"/>
              </w:rPr>
            </w:pPr>
          </w:p>
        </w:tc>
        <w:tc>
          <w:tcPr>
            <w:tcW w:w="1529" w:type="dxa"/>
            <w:shd w:val="clear" w:color="auto" w:fill="FFFFFF"/>
            <w:tcMar>
              <w:top w:w="0" w:type="dxa"/>
              <w:left w:w="108" w:type="dxa"/>
              <w:bottom w:w="0" w:type="dxa"/>
              <w:right w:w="108" w:type="dxa"/>
            </w:tcMar>
          </w:tcPr>
          <w:p w14:paraId="13DD95C6">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单科（满分=100分）</w:t>
            </w:r>
          </w:p>
        </w:tc>
        <w:tc>
          <w:tcPr>
            <w:tcW w:w="1534" w:type="dxa"/>
            <w:shd w:val="clear" w:color="auto" w:fill="FFFFFF"/>
            <w:tcMar>
              <w:top w:w="0" w:type="dxa"/>
              <w:left w:w="108" w:type="dxa"/>
              <w:bottom w:w="0" w:type="dxa"/>
              <w:right w:w="108" w:type="dxa"/>
            </w:tcMar>
          </w:tcPr>
          <w:p w14:paraId="2B77608B">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单科（满分&gt;100分）</w:t>
            </w:r>
          </w:p>
        </w:tc>
        <w:tc>
          <w:tcPr>
            <w:tcW w:w="773" w:type="dxa"/>
            <w:shd w:val="clear" w:color="auto" w:fill="FFFFFF"/>
            <w:tcMar>
              <w:top w:w="0" w:type="dxa"/>
              <w:left w:w="108" w:type="dxa"/>
              <w:bottom w:w="0" w:type="dxa"/>
              <w:right w:w="108" w:type="dxa"/>
            </w:tcMar>
          </w:tcPr>
          <w:p w14:paraId="3A550DDD">
            <w:pPr>
              <w:widowControl/>
              <w:spacing w:line="360" w:lineRule="atLeast"/>
              <w:jc w:val="center"/>
              <w:rPr>
                <w:rFonts w:ascii="仿宋" w:hAnsi="仿宋" w:eastAsia="仿宋"/>
                <w:color w:val="333333"/>
                <w:kern w:val="0"/>
                <w:sz w:val="24"/>
                <w:szCs w:val="24"/>
              </w:rPr>
            </w:pPr>
            <w:r>
              <w:rPr>
                <w:rFonts w:hint="eastAsia" w:ascii="仿宋" w:hAnsi="仿宋" w:eastAsia="仿宋"/>
                <w:color w:val="333333"/>
                <w:kern w:val="0"/>
                <w:sz w:val="24"/>
                <w:szCs w:val="24"/>
              </w:rPr>
              <w:t>总分</w:t>
            </w:r>
          </w:p>
        </w:tc>
      </w:tr>
      <w:tr w14:paraId="39F94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70" w:type="dxa"/>
            <w:shd w:val="clear" w:color="auto" w:fill="auto"/>
            <w:tcMar>
              <w:top w:w="0" w:type="dxa"/>
              <w:left w:w="108" w:type="dxa"/>
              <w:bottom w:w="0" w:type="dxa"/>
              <w:right w:w="108" w:type="dxa"/>
            </w:tcMar>
          </w:tcPr>
          <w:p w14:paraId="4BFF671D">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非全日制</w:t>
            </w:r>
          </w:p>
        </w:tc>
        <w:tc>
          <w:tcPr>
            <w:tcW w:w="921" w:type="dxa"/>
            <w:shd w:val="clear" w:color="auto" w:fill="auto"/>
            <w:tcMar>
              <w:top w:w="0" w:type="dxa"/>
              <w:left w:w="108" w:type="dxa"/>
              <w:bottom w:w="0" w:type="dxa"/>
              <w:right w:w="108" w:type="dxa"/>
            </w:tcMar>
          </w:tcPr>
          <w:p w14:paraId="2A978A6B">
            <w:pPr>
              <w:widowControl/>
              <w:wordWrap w:val="0"/>
              <w:spacing w:line="360" w:lineRule="atLeast"/>
              <w:rPr>
                <w:rFonts w:ascii="仿宋" w:hAnsi="仿宋" w:eastAsia="仿宋"/>
                <w:b/>
                <w:bCs/>
                <w:color w:val="C00000"/>
                <w:kern w:val="0"/>
                <w:sz w:val="24"/>
                <w:szCs w:val="24"/>
              </w:rPr>
            </w:pPr>
            <w:r>
              <w:rPr>
                <w:rFonts w:hint="eastAsia" w:ascii="仿宋" w:hAnsi="仿宋" w:eastAsia="仿宋"/>
                <w:color w:val="333333"/>
                <w:kern w:val="0"/>
                <w:sz w:val="24"/>
                <w:szCs w:val="24"/>
              </w:rPr>
              <w:t>专业型</w:t>
            </w:r>
          </w:p>
        </w:tc>
        <w:tc>
          <w:tcPr>
            <w:tcW w:w="936" w:type="dxa"/>
            <w:shd w:val="clear" w:color="auto" w:fill="auto"/>
            <w:tcMar>
              <w:top w:w="0" w:type="dxa"/>
              <w:left w:w="108" w:type="dxa"/>
              <w:bottom w:w="0" w:type="dxa"/>
              <w:right w:w="108" w:type="dxa"/>
            </w:tcMar>
          </w:tcPr>
          <w:p w14:paraId="702AB8CF">
            <w:pPr>
              <w:jc w:val="center"/>
              <w:rPr>
                <w:rFonts w:ascii="仿宋" w:hAnsi="仿宋" w:eastAsia="仿宋"/>
                <w:color w:val="333333"/>
                <w:kern w:val="0"/>
                <w:sz w:val="24"/>
                <w:szCs w:val="24"/>
              </w:rPr>
            </w:pPr>
            <w:r>
              <w:rPr>
                <w:rFonts w:hint="eastAsia" w:ascii="仿宋" w:hAnsi="仿宋" w:eastAsia="仿宋"/>
                <w:color w:val="333333"/>
                <w:kern w:val="0"/>
                <w:sz w:val="24"/>
                <w:szCs w:val="24"/>
              </w:rPr>
              <w:t>01企业战略与运用管理</w:t>
            </w:r>
          </w:p>
          <w:p w14:paraId="4827B799">
            <w:pPr>
              <w:jc w:val="center"/>
              <w:rPr>
                <w:rFonts w:ascii="仿宋" w:hAnsi="仿宋" w:eastAsia="仿宋"/>
                <w:color w:val="333333"/>
                <w:kern w:val="0"/>
                <w:sz w:val="24"/>
                <w:szCs w:val="24"/>
              </w:rPr>
            </w:pPr>
            <w:r>
              <w:rPr>
                <w:rFonts w:hint="eastAsia" w:ascii="仿宋" w:hAnsi="仿宋" w:eastAsia="仿宋"/>
                <w:color w:val="333333"/>
                <w:kern w:val="0"/>
                <w:sz w:val="24"/>
                <w:szCs w:val="24"/>
              </w:rPr>
              <w:t>02珠宝商务</w:t>
            </w:r>
          </w:p>
          <w:p w14:paraId="7B8BB68A">
            <w:pPr>
              <w:widowControl/>
              <w:wordWrap w:val="0"/>
              <w:spacing w:line="360" w:lineRule="atLeast"/>
              <w:rPr>
                <w:rFonts w:ascii="仿宋" w:hAnsi="仿宋" w:eastAsia="仿宋"/>
                <w:b/>
                <w:bCs/>
                <w:color w:val="C00000"/>
                <w:kern w:val="0"/>
                <w:szCs w:val="21"/>
              </w:rPr>
            </w:pPr>
            <w:r>
              <w:rPr>
                <w:rFonts w:hint="eastAsia" w:ascii="仿宋" w:hAnsi="仿宋" w:eastAsia="仿宋"/>
                <w:color w:val="333333"/>
                <w:kern w:val="0"/>
                <w:sz w:val="24"/>
                <w:szCs w:val="24"/>
              </w:rPr>
              <w:t>03资源型企业经营管理</w:t>
            </w:r>
          </w:p>
        </w:tc>
        <w:tc>
          <w:tcPr>
            <w:tcW w:w="1289" w:type="dxa"/>
            <w:shd w:val="clear" w:color="auto" w:fill="auto"/>
            <w:tcMar>
              <w:top w:w="0" w:type="dxa"/>
              <w:left w:w="108" w:type="dxa"/>
              <w:bottom w:w="0" w:type="dxa"/>
              <w:right w:w="108" w:type="dxa"/>
            </w:tcMar>
          </w:tcPr>
          <w:p w14:paraId="5250F626">
            <w:pPr>
              <w:widowControl/>
              <w:wordWrap w:val="0"/>
              <w:spacing w:line="360" w:lineRule="atLeast"/>
              <w:rPr>
                <w:rFonts w:hint="eastAsia" w:ascii="仿宋" w:hAnsi="仿宋" w:eastAsia="仿宋"/>
                <w:bCs/>
                <w:kern w:val="0"/>
                <w:sz w:val="32"/>
                <w:szCs w:val="32"/>
                <w:lang w:val="en-US" w:eastAsia="zh-CN"/>
              </w:rPr>
            </w:pPr>
            <w:r>
              <w:rPr>
                <w:rFonts w:ascii="仿宋" w:hAnsi="仿宋" w:eastAsia="仿宋"/>
                <w:bCs/>
                <w:kern w:val="0"/>
                <w:sz w:val="32"/>
                <w:szCs w:val="32"/>
              </w:rPr>
              <w:t>约</w:t>
            </w:r>
            <w:r>
              <w:rPr>
                <w:rFonts w:hint="eastAsia" w:ascii="仿宋" w:hAnsi="仿宋" w:eastAsia="仿宋"/>
                <w:bCs/>
                <w:kern w:val="0"/>
                <w:sz w:val="32"/>
                <w:szCs w:val="32"/>
                <w:lang w:val="en-US" w:eastAsia="zh-CN"/>
              </w:rPr>
              <w:t>4</w:t>
            </w:r>
          </w:p>
        </w:tc>
        <w:tc>
          <w:tcPr>
            <w:tcW w:w="1529" w:type="dxa"/>
            <w:shd w:val="clear" w:color="auto" w:fill="auto"/>
            <w:tcMar>
              <w:top w:w="0" w:type="dxa"/>
              <w:left w:w="108" w:type="dxa"/>
              <w:bottom w:w="0" w:type="dxa"/>
              <w:right w:w="108" w:type="dxa"/>
            </w:tcMar>
          </w:tcPr>
          <w:p w14:paraId="3F0781D8">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35</w:t>
            </w:r>
          </w:p>
        </w:tc>
        <w:tc>
          <w:tcPr>
            <w:tcW w:w="1534" w:type="dxa"/>
            <w:shd w:val="clear" w:color="auto" w:fill="auto"/>
            <w:tcMar>
              <w:top w:w="0" w:type="dxa"/>
              <w:left w:w="108" w:type="dxa"/>
              <w:bottom w:w="0" w:type="dxa"/>
              <w:right w:w="108" w:type="dxa"/>
            </w:tcMar>
          </w:tcPr>
          <w:p w14:paraId="1C2BCCE5">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70</w:t>
            </w:r>
          </w:p>
        </w:tc>
        <w:tc>
          <w:tcPr>
            <w:tcW w:w="773" w:type="dxa"/>
            <w:shd w:val="clear" w:color="auto" w:fill="auto"/>
            <w:tcMar>
              <w:top w:w="0" w:type="dxa"/>
              <w:left w:w="108" w:type="dxa"/>
              <w:bottom w:w="0" w:type="dxa"/>
              <w:right w:w="108" w:type="dxa"/>
            </w:tcMar>
          </w:tcPr>
          <w:p w14:paraId="041C4704">
            <w:pPr>
              <w:widowControl/>
              <w:wordWrap w:val="0"/>
              <w:spacing w:line="360" w:lineRule="atLeast"/>
              <w:rPr>
                <w:rFonts w:ascii="仿宋" w:hAnsi="仿宋" w:eastAsia="仿宋"/>
                <w:bCs/>
                <w:kern w:val="0"/>
                <w:sz w:val="32"/>
                <w:szCs w:val="32"/>
              </w:rPr>
            </w:pPr>
            <w:r>
              <w:rPr>
                <w:rFonts w:hint="eastAsia" w:ascii="仿宋" w:hAnsi="仿宋" w:eastAsia="仿宋"/>
                <w:bCs/>
                <w:kern w:val="0"/>
                <w:sz w:val="32"/>
                <w:szCs w:val="32"/>
              </w:rPr>
              <w:t>151</w:t>
            </w:r>
          </w:p>
        </w:tc>
      </w:tr>
    </w:tbl>
    <w:p w14:paraId="7E691110">
      <w:pPr>
        <w:widowControl/>
        <w:shd w:val="clear" w:color="auto" w:fill="FFFFFF"/>
        <w:spacing w:line="360" w:lineRule="atLeast"/>
        <w:rPr>
          <w:rFonts w:ascii="仿宋" w:hAnsi="仿宋" w:eastAsia="仿宋"/>
          <w:color w:val="333333"/>
          <w:kern w:val="0"/>
          <w:sz w:val="32"/>
          <w:szCs w:val="32"/>
        </w:rPr>
      </w:pPr>
    </w:p>
    <w:p w14:paraId="1C7D1954">
      <w:pPr>
        <w:widowControl/>
        <w:shd w:val="clear" w:color="auto" w:fill="FFFFFF"/>
        <w:spacing w:line="360" w:lineRule="atLeast"/>
        <w:rPr>
          <w:rFonts w:ascii="仿宋" w:hAnsi="仿宋" w:eastAsia="仿宋"/>
          <w:color w:val="333333"/>
          <w:kern w:val="0"/>
          <w:sz w:val="28"/>
          <w:szCs w:val="28"/>
        </w:rPr>
      </w:pPr>
      <w:r>
        <w:rPr>
          <w:rFonts w:hint="eastAsia" w:ascii="仿宋" w:hAnsi="仿宋" w:eastAsia="仿宋"/>
          <w:b/>
          <w:bCs/>
          <w:color w:val="000000"/>
          <w:kern w:val="0"/>
          <w:sz w:val="28"/>
          <w:szCs w:val="28"/>
        </w:rPr>
        <w:t>二、调剂的条件和要求</w:t>
      </w:r>
    </w:p>
    <w:p w14:paraId="60E6379C">
      <w:pPr>
        <w:tabs>
          <w:tab w:val="left" w:pos="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第一志愿报考工商管理、公共管理、旅游管理、工程管理、会计、图书情报、审计专业学位硕士的考生，可申请调剂工商管理。但初试成绩须同时符合第一志愿和工商管理全国初试成绩基本要求的基础上，且满足硕士毕业满2年及2年以上，或大学本科毕业满3年及3年以上，或大专毕业满5年及5年以上。</w:t>
      </w:r>
    </w:p>
    <w:p w14:paraId="12A5050D">
      <w:pPr>
        <w:tabs>
          <w:tab w:val="left" w:pos="0"/>
        </w:tabs>
        <w:spacing w:line="560" w:lineRule="exact"/>
        <w:ind w:firstLine="560" w:firstLineChars="200"/>
        <w:rPr>
          <w:rFonts w:ascii="仿宋_GB2312" w:hAnsi="宋体" w:eastAsia="仿宋_GB2312"/>
          <w:sz w:val="28"/>
          <w:szCs w:val="28"/>
        </w:rPr>
      </w:pPr>
    </w:p>
    <w:p w14:paraId="0847B671">
      <w:pPr>
        <w:widowControl/>
        <w:shd w:val="clear" w:color="auto" w:fill="FFFFFF"/>
        <w:spacing w:line="360" w:lineRule="atLeast"/>
        <w:rPr>
          <w:rFonts w:ascii="仿宋" w:hAnsi="仿宋" w:eastAsia="仿宋"/>
          <w:color w:val="333333"/>
          <w:kern w:val="0"/>
          <w:sz w:val="28"/>
          <w:szCs w:val="28"/>
        </w:rPr>
      </w:pPr>
      <w:r>
        <w:rPr>
          <w:rFonts w:hint="eastAsia" w:ascii="仿宋" w:hAnsi="仿宋" w:eastAsia="仿宋"/>
          <w:b/>
          <w:bCs/>
          <w:color w:val="000000"/>
          <w:kern w:val="0"/>
          <w:sz w:val="28"/>
          <w:szCs w:val="28"/>
        </w:rPr>
        <w:t>三、调剂申请程序</w:t>
      </w:r>
    </w:p>
    <w:p w14:paraId="0AC2C068">
      <w:pPr>
        <w:widowControl/>
        <w:shd w:val="clear" w:color="auto" w:fill="FFFFFF"/>
        <w:spacing w:line="360" w:lineRule="atLeast"/>
        <w:rPr>
          <w:rFonts w:ascii="仿宋" w:hAnsi="仿宋" w:eastAsia="仿宋"/>
          <w:b/>
          <w:bCs/>
          <w:color w:val="333333"/>
          <w:kern w:val="0"/>
          <w:sz w:val="28"/>
          <w:szCs w:val="28"/>
        </w:rPr>
      </w:pPr>
      <w:r>
        <w:rPr>
          <w:rFonts w:hint="eastAsia" w:ascii="仿宋" w:hAnsi="仿宋" w:eastAsia="仿宋"/>
          <w:b/>
          <w:bCs/>
          <w:color w:val="333333"/>
          <w:kern w:val="0"/>
          <w:sz w:val="28"/>
          <w:szCs w:val="28"/>
        </w:rPr>
        <w:t>1.报名方式</w:t>
      </w:r>
    </w:p>
    <w:p w14:paraId="3405124E">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所有调剂考生均</w:t>
      </w:r>
      <w:r>
        <w:rPr>
          <w:rFonts w:hint="eastAsia" w:ascii="仿宋_GB2312" w:hAnsi="仿宋" w:eastAsia="仿宋_GB2312" w:cs="仿宋"/>
          <w:color w:val="000000"/>
          <w:spacing w:val="-4"/>
          <w:kern w:val="0"/>
          <w:sz w:val="28"/>
          <w:szCs w:val="28"/>
        </w:rPr>
        <w:t>须通过教育部“全国硕士生招生复试调剂服务系统” （http://yz.chsi.com.cn/yztj/</w:t>
      </w:r>
      <w:r>
        <w:rPr>
          <w:rFonts w:hint="eastAsia" w:ascii="仿宋" w:hAnsi="仿宋" w:eastAsia="仿宋"/>
          <w:color w:val="333333"/>
          <w:kern w:val="0"/>
          <w:sz w:val="28"/>
          <w:szCs w:val="28"/>
        </w:rPr>
        <w:t>进行。</w:t>
      </w:r>
    </w:p>
    <w:p w14:paraId="47A7D24A">
      <w:pPr>
        <w:widowControl/>
        <w:shd w:val="clear" w:color="auto" w:fill="FFFFFF"/>
        <w:spacing w:line="360" w:lineRule="atLeast"/>
        <w:rPr>
          <w:rFonts w:ascii="仿宋" w:hAnsi="仿宋" w:eastAsia="仿宋"/>
          <w:b/>
          <w:bCs/>
          <w:color w:val="333333"/>
          <w:kern w:val="0"/>
          <w:sz w:val="28"/>
          <w:szCs w:val="28"/>
        </w:rPr>
      </w:pPr>
      <w:r>
        <w:rPr>
          <w:rFonts w:hint="eastAsia" w:ascii="仿宋" w:hAnsi="仿宋" w:eastAsia="仿宋"/>
          <w:b/>
          <w:bCs/>
          <w:color w:val="333333"/>
          <w:kern w:val="0"/>
          <w:sz w:val="28"/>
          <w:szCs w:val="28"/>
        </w:rPr>
        <w:t>2.报名时间</w:t>
      </w:r>
    </w:p>
    <w:p w14:paraId="7D2D8B0C">
      <w:pPr>
        <w:widowControl/>
        <w:shd w:val="clear" w:color="auto" w:fill="FFFFFF"/>
        <w:spacing w:line="360" w:lineRule="atLeast"/>
        <w:ind w:firstLine="560" w:firstLineChars="200"/>
        <w:rPr>
          <w:rFonts w:hint="default" w:ascii="仿宋" w:hAnsi="仿宋" w:eastAsia="仿宋"/>
          <w:color w:val="333333"/>
          <w:kern w:val="0"/>
          <w:sz w:val="28"/>
          <w:szCs w:val="28"/>
          <w:lang w:val="en-US" w:eastAsia="zh-CN"/>
        </w:rPr>
      </w:pPr>
      <w:r>
        <w:rPr>
          <w:rFonts w:hint="eastAsia" w:ascii="仿宋" w:hAnsi="仿宋" w:eastAsia="仿宋"/>
          <w:color w:val="333333"/>
          <w:kern w:val="0"/>
          <w:sz w:val="28"/>
          <w:szCs w:val="28"/>
        </w:rPr>
        <w:t>调剂</w:t>
      </w:r>
      <w:r>
        <w:rPr>
          <w:rFonts w:hint="eastAsia" w:ascii="仿宋" w:hAnsi="仿宋" w:eastAsia="仿宋"/>
          <w:color w:val="333333"/>
          <w:kern w:val="0"/>
          <w:sz w:val="28"/>
          <w:szCs w:val="28"/>
          <w:lang w:val="en-US" w:eastAsia="zh-CN"/>
        </w:rPr>
        <w:t>系统</w:t>
      </w:r>
      <w:r>
        <w:rPr>
          <w:rFonts w:hint="eastAsia" w:ascii="仿宋" w:hAnsi="仿宋" w:eastAsia="仿宋"/>
          <w:color w:val="333333"/>
          <w:kern w:val="0"/>
          <w:sz w:val="28"/>
          <w:szCs w:val="28"/>
        </w:rPr>
        <w:t>开通时间为</w:t>
      </w:r>
      <w:r>
        <w:rPr>
          <w:rFonts w:hint="eastAsia" w:ascii="仿宋" w:hAnsi="仿宋" w:eastAsia="仿宋"/>
          <w:color w:val="333333"/>
          <w:kern w:val="0"/>
          <w:sz w:val="28"/>
          <w:szCs w:val="28"/>
          <w:highlight w:val="none"/>
        </w:rPr>
        <w:t>：4月</w:t>
      </w:r>
      <w:r>
        <w:rPr>
          <w:rFonts w:hint="eastAsia" w:ascii="仿宋" w:hAnsi="仿宋" w:eastAsia="仿宋"/>
          <w:color w:val="333333"/>
          <w:kern w:val="0"/>
          <w:sz w:val="28"/>
          <w:szCs w:val="28"/>
          <w:highlight w:val="none"/>
          <w:lang w:val="en-US" w:eastAsia="zh-CN"/>
        </w:rPr>
        <w:t>22</w:t>
      </w:r>
      <w:r>
        <w:rPr>
          <w:rFonts w:hint="eastAsia" w:ascii="仿宋" w:hAnsi="仿宋" w:eastAsia="仿宋"/>
          <w:color w:val="333333"/>
          <w:kern w:val="0"/>
          <w:sz w:val="28"/>
          <w:szCs w:val="28"/>
          <w:highlight w:val="none"/>
        </w:rPr>
        <w:t>日</w:t>
      </w:r>
      <w:r>
        <w:rPr>
          <w:rFonts w:hint="eastAsia" w:ascii="仿宋" w:hAnsi="仿宋" w:eastAsia="仿宋"/>
          <w:color w:val="333333"/>
          <w:kern w:val="0"/>
          <w:sz w:val="28"/>
          <w:szCs w:val="28"/>
          <w:highlight w:val="none"/>
          <w:lang w:val="en-US" w:eastAsia="zh-CN"/>
        </w:rPr>
        <w:t>20</w:t>
      </w:r>
      <w:r>
        <w:rPr>
          <w:rFonts w:hint="eastAsia" w:ascii="仿宋" w:hAnsi="仿宋" w:eastAsia="仿宋"/>
          <w:color w:val="333333"/>
          <w:kern w:val="0"/>
          <w:sz w:val="28"/>
          <w:szCs w:val="28"/>
          <w:highlight w:val="none"/>
        </w:rPr>
        <w:t>：</w:t>
      </w:r>
      <w:r>
        <w:rPr>
          <w:rFonts w:hint="eastAsia" w:ascii="仿宋" w:hAnsi="仿宋" w:eastAsia="仿宋"/>
          <w:color w:val="333333"/>
          <w:kern w:val="0"/>
          <w:sz w:val="28"/>
          <w:szCs w:val="28"/>
        </w:rPr>
        <w:t>00</w:t>
      </w:r>
      <w:r>
        <w:rPr>
          <w:rFonts w:ascii="仿宋" w:hAnsi="仿宋" w:eastAsia="仿宋"/>
          <w:color w:val="333333"/>
          <w:kern w:val="0"/>
          <w:sz w:val="28"/>
          <w:szCs w:val="28"/>
        </w:rPr>
        <w:t xml:space="preserve"> </w:t>
      </w:r>
      <w:r>
        <w:rPr>
          <w:rFonts w:hint="eastAsia" w:ascii="仿宋" w:hAnsi="仿宋" w:eastAsia="仿宋"/>
          <w:color w:val="333333"/>
          <w:kern w:val="0"/>
          <w:sz w:val="28"/>
          <w:szCs w:val="28"/>
          <w:lang w:val="en-US" w:eastAsia="zh-CN"/>
        </w:rPr>
        <w:t>-4月23日12:00</w:t>
      </w:r>
    </w:p>
    <w:p w14:paraId="7847B308">
      <w:pPr>
        <w:widowControl/>
        <w:shd w:val="clear" w:color="auto" w:fill="FFFFFF"/>
        <w:spacing w:line="360" w:lineRule="atLeast"/>
        <w:rPr>
          <w:rFonts w:ascii="仿宋" w:hAnsi="仿宋" w:eastAsia="仿宋"/>
          <w:b/>
          <w:bCs/>
          <w:color w:val="000000"/>
          <w:kern w:val="0"/>
          <w:sz w:val="28"/>
          <w:szCs w:val="28"/>
        </w:rPr>
      </w:pPr>
      <w:r>
        <w:rPr>
          <w:rFonts w:hint="eastAsia" w:ascii="仿宋" w:hAnsi="仿宋" w:eastAsia="仿宋"/>
          <w:b/>
          <w:bCs/>
          <w:color w:val="000000"/>
          <w:kern w:val="0"/>
          <w:sz w:val="28"/>
          <w:szCs w:val="28"/>
        </w:rPr>
        <w:t>四、复试</w:t>
      </w:r>
    </w:p>
    <w:p w14:paraId="31AB805A">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符合我院调剂要求的考生请在规定时间内登录研招网调剂系统填报调剂志愿，经初审名单确定后，将通过调剂系统向考生发送复试通知，考生在系统中确认同意复试后按要求参加我院复试方可。复试名单在学院网上公示。</w:t>
      </w:r>
    </w:p>
    <w:p w14:paraId="68986672">
      <w:pPr>
        <w:widowControl/>
        <w:shd w:val="clear" w:color="auto" w:fill="FFFFFF"/>
        <w:spacing w:line="360" w:lineRule="atLeast"/>
        <w:ind w:firstLine="560" w:firstLineChars="200"/>
        <w:rPr>
          <w:rFonts w:ascii="仿宋" w:hAnsi="仿宋" w:eastAsia="仿宋"/>
          <w:color w:val="333333"/>
          <w:kern w:val="0"/>
          <w:sz w:val="28"/>
          <w:szCs w:val="28"/>
        </w:rPr>
      </w:pPr>
      <w:r>
        <w:rPr>
          <w:rFonts w:hint="eastAsia" w:ascii="仿宋" w:hAnsi="仿宋" w:eastAsia="仿宋"/>
          <w:color w:val="333333"/>
          <w:kern w:val="0"/>
          <w:sz w:val="28"/>
          <w:szCs w:val="28"/>
        </w:rPr>
        <w:t>具体复试时间和要求</w:t>
      </w:r>
      <w:r>
        <w:rPr>
          <w:rFonts w:hint="eastAsia" w:ascii="仿宋" w:hAnsi="仿宋" w:eastAsia="仿宋"/>
          <w:color w:val="333333"/>
          <w:kern w:val="0"/>
          <w:sz w:val="28"/>
          <w:szCs w:val="28"/>
          <w:lang w:val="en-US" w:eastAsia="zh-CN"/>
        </w:rPr>
        <w:t>见调剂复试通知（第三</w:t>
      </w:r>
      <w:bookmarkStart w:id="0" w:name="_GoBack"/>
      <w:bookmarkEnd w:id="0"/>
      <w:r>
        <w:rPr>
          <w:rFonts w:hint="eastAsia" w:ascii="仿宋" w:hAnsi="仿宋" w:eastAsia="仿宋"/>
          <w:color w:val="333333"/>
          <w:kern w:val="0"/>
          <w:sz w:val="28"/>
          <w:szCs w:val="28"/>
          <w:lang w:val="en-US" w:eastAsia="zh-CN"/>
        </w:rPr>
        <w:t>批）</w:t>
      </w:r>
      <w:r>
        <w:rPr>
          <w:rFonts w:hint="eastAsia" w:ascii="仿宋" w:hAnsi="仿宋" w:eastAsia="仿宋"/>
          <w:color w:val="333333"/>
          <w:kern w:val="0"/>
          <w:sz w:val="28"/>
          <w:szCs w:val="28"/>
        </w:rPr>
        <w:t>。</w:t>
      </w:r>
    </w:p>
    <w:p w14:paraId="53634895">
      <w:pPr>
        <w:widowControl/>
        <w:shd w:val="clear" w:color="auto" w:fill="FFFFFF"/>
        <w:spacing w:line="360" w:lineRule="atLeast"/>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五、调剂录取工作办法</w:t>
      </w:r>
    </w:p>
    <w:p w14:paraId="1D4BBD4E">
      <w:pPr>
        <w:widowControl/>
        <w:shd w:val="clear" w:color="auto" w:fill="FFFFFF"/>
        <w:spacing w:line="360" w:lineRule="atLeast"/>
        <w:ind w:firstLine="560" w:firstLineChars="200"/>
        <w:rPr>
          <w:rFonts w:ascii="仿宋" w:hAnsi="仿宋" w:eastAsia="仿宋"/>
          <w:b/>
          <w:bCs/>
          <w:color w:val="000000"/>
          <w:kern w:val="0"/>
          <w:sz w:val="28"/>
          <w:szCs w:val="28"/>
        </w:rPr>
      </w:pPr>
      <w:r>
        <w:rPr>
          <w:rFonts w:hint="eastAsia" w:ascii="仿宋" w:hAnsi="仿宋" w:eastAsia="仿宋"/>
          <w:color w:val="000000"/>
          <w:kern w:val="0"/>
          <w:sz w:val="28"/>
          <w:szCs w:val="28"/>
        </w:rPr>
        <w:t>参见</w:t>
      </w:r>
      <w:r>
        <w:rPr>
          <w:rFonts w:hint="eastAsia" w:ascii="仿宋" w:hAnsi="仿宋" w:eastAsia="仿宋"/>
          <w:color w:val="333333"/>
          <w:kern w:val="0"/>
          <w:sz w:val="28"/>
          <w:szCs w:val="28"/>
        </w:rPr>
        <w:t>《中国地质大学（北京）经济管理学院 2025年专业学位类硕士研究生复试录取工作方案</w:t>
      </w:r>
      <w:r>
        <w:rPr>
          <w:rFonts w:hint="eastAsia" w:ascii="宋体" w:hAnsi="宋体" w:eastAsia="宋体"/>
          <w:kern w:val="0"/>
          <w:sz w:val="24"/>
          <w:szCs w:val="24"/>
        </w:rPr>
        <w:t>》（https://bm.cugb.edu.cn/mba/c/2025-03-19/822284.shtml）</w:t>
      </w:r>
      <w:r>
        <w:rPr>
          <w:rFonts w:hint="eastAsia" w:ascii="仿宋" w:hAnsi="仿宋" w:eastAsia="仿宋"/>
          <w:color w:val="000000"/>
          <w:kern w:val="0"/>
          <w:sz w:val="28"/>
          <w:szCs w:val="28"/>
        </w:rPr>
        <w:t>。</w:t>
      </w:r>
    </w:p>
    <w:p w14:paraId="38D75C03">
      <w:pPr>
        <w:widowControl/>
        <w:spacing w:line="276" w:lineRule="auto"/>
        <w:ind w:firstLine="560" w:firstLineChars="200"/>
        <w:jc w:val="left"/>
        <w:rPr>
          <w:rFonts w:ascii="仿宋" w:hAnsi="仿宋" w:eastAsia="仿宋"/>
          <w:color w:val="333333"/>
          <w:kern w:val="0"/>
          <w:sz w:val="28"/>
          <w:szCs w:val="28"/>
        </w:rPr>
      </w:pPr>
      <w:r>
        <w:rPr>
          <w:rFonts w:hint="eastAsia" w:ascii="仿宋" w:hAnsi="仿宋" w:eastAsia="仿宋"/>
          <w:color w:val="333333"/>
          <w:kern w:val="0"/>
          <w:sz w:val="28"/>
          <w:szCs w:val="28"/>
        </w:rPr>
        <w:t>并请及时关注中国地质大学（北京）研究生院招生网站和经济管理学院网站的相关信息。</w:t>
      </w:r>
    </w:p>
    <w:p w14:paraId="135172AA">
      <w:pPr>
        <w:widowControl/>
        <w:shd w:val="clear" w:color="auto" w:fill="FFFFFF"/>
        <w:spacing w:line="360" w:lineRule="atLeast"/>
        <w:ind w:firstLine="560" w:firstLineChars="200"/>
        <w:rPr>
          <w:rFonts w:ascii="仿宋" w:hAnsi="仿宋" w:eastAsia="仿宋"/>
          <w:color w:val="333333"/>
          <w:kern w:val="0"/>
          <w:sz w:val="28"/>
          <w:szCs w:val="28"/>
        </w:rPr>
      </w:pPr>
    </w:p>
    <w:p w14:paraId="75CD46DF">
      <w:pPr>
        <w:widowControl/>
        <w:shd w:val="clear" w:color="auto" w:fill="FFFFFF"/>
        <w:spacing w:line="360" w:lineRule="atLeast"/>
        <w:ind w:firstLine="4480" w:firstLineChars="1600"/>
        <w:rPr>
          <w:rFonts w:ascii="仿宋" w:hAnsi="仿宋" w:eastAsia="仿宋"/>
          <w:color w:val="333333"/>
          <w:kern w:val="0"/>
          <w:sz w:val="28"/>
          <w:szCs w:val="28"/>
        </w:rPr>
      </w:pPr>
      <w:r>
        <w:rPr>
          <w:rFonts w:hint="eastAsia" w:ascii="仿宋" w:hAnsi="仿宋" w:eastAsia="仿宋"/>
          <w:color w:val="333333"/>
          <w:kern w:val="0"/>
          <w:sz w:val="28"/>
          <w:szCs w:val="28"/>
        </w:rPr>
        <w:t>中国地质大学（北京）经济管理</w:t>
      </w:r>
      <w:r>
        <w:rPr>
          <w:rFonts w:hint="eastAsia" w:ascii="仿宋" w:hAnsi="仿宋" w:eastAsia="仿宋"/>
          <w:color w:val="000000"/>
          <w:kern w:val="0"/>
          <w:sz w:val="28"/>
          <w:szCs w:val="28"/>
        </w:rPr>
        <w:t>学院</w:t>
      </w:r>
    </w:p>
    <w:p w14:paraId="6DFC5A22">
      <w:pPr>
        <w:widowControl/>
        <w:shd w:val="clear" w:color="auto" w:fill="FFFFFF"/>
        <w:spacing w:line="360" w:lineRule="atLeast"/>
        <w:ind w:firstLine="5600" w:firstLineChars="2000"/>
        <w:rPr>
          <w:rFonts w:ascii="仿宋" w:hAnsi="仿宋" w:eastAsia="仿宋"/>
          <w:color w:val="333333"/>
          <w:kern w:val="0"/>
          <w:sz w:val="28"/>
          <w:szCs w:val="28"/>
        </w:rPr>
      </w:pPr>
      <w:r>
        <w:rPr>
          <w:rFonts w:hint="eastAsia" w:ascii="仿宋" w:hAnsi="仿宋" w:eastAsia="仿宋"/>
          <w:color w:val="000000"/>
          <w:kern w:val="0"/>
          <w:sz w:val="28"/>
          <w:szCs w:val="28"/>
        </w:rPr>
        <w:t>2025年</w:t>
      </w:r>
      <w:r>
        <w:rPr>
          <w:rFonts w:hint="eastAsia" w:ascii="仿宋" w:hAnsi="仿宋" w:eastAsia="仿宋"/>
          <w:color w:val="000000"/>
          <w:kern w:val="0"/>
          <w:sz w:val="28"/>
          <w:szCs w:val="28"/>
          <w:lang w:val="en-US" w:eastAsia="zh-CN"/>
        </w:rPr>
        <w:t>4</w:t>
      </w:r>
      <w:r>
        <w:rPr>
          <w:rFonts w:hint="eastAsia" w:ascii="仿宋" w:hAnsi="仿宋" w:eastAsia="仿宋"/>
          <w:color w:val="000000"/>
          <w:kern w:val="0"/>
          <w:sz w:val="28"/>
          <w:szCs w:val="28"/>
        </w:rPr>
        <w:t>月</w:t>
      </w:r>
      <w:r>
        <w:rPr>
          <w:rFonts w:hint="eastAsia" w:ascii="仿宋" w:hAnsi="仿宋" w:eastAsia="仿宋"/>
          <w:color w:val="000000"/>
          <w:kern w:val="0"/>
          <w:sz w:val="28"/>
          <w:szCs w:val="28"/>
          <w:lang w:val="en-US" w:eastAsia="zh-CN"/>
        </w:rPr>
        <w:t>22</w:t>
      </w:r>
      <w:r>
        <w:rPr>
          <w:rFonts w:hint="eastAsia" w:ascii="仿宋" w:hAnsi="仿宋" w:eastAsia="仿宋"/>
          <w:color w:val="000000"/>
          <w:kern w:val="0"/>
          <w:sz w:val="28"/>
          <w:szCs w:val="28"/>
        </w:rPr>
        <w:t>日</w:t>
      </w:r>
    </w:p>
    <w:sectPr>
      <w:pgSz w:w="11906" w:h="16838"/>
      <w:pgMar w:top="851"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ODU4YzU4NDdhOWJlYTA4NjdkNWZmMzZhY2MwMzIifQ=="/>
  </w:docVars>
  <w:rsids>
    <w:rsidRoot w:val="005702BD"/>
    <w:rsid w:val="000C7F69"/>
    <w:rsid w:val="002526C5"/>
    <w:rsid w:val="00361C96"/>
    <w:rsid w:val="004E1C00"/>
    <w:rsid w:val="0051663F"/>
    <w:rsid w:val="005332E6"/>
    <w:rsid w:val="005702BD"/>
    <w:rsid w:val="00846F51"/>
    <w:rsid w:val="008C53E3"/>
    <w:rsid w:val="00B13B1C"/>
    <w:rsid w:val="00FE7219"/>
    <w:rsid w:val="010F1DCB"/>
    <w:rsid w:val="01316EFC"/>
    <w:rsid w:val="0C263DA4"/>
    <w:rsid w:val="0E1278F2"/>
    <w:rsid w:val="14A30D26"/>
    <w:rsid w:val="198704B1"/>
    <w:rsid w:val="235750EE"/>
    <w:rsid w:val="2829733C"/>
    <w:rsid w:val="2C47237D"/>
    <w:rsid w:val="3F253075"/>
    <w:rsid w:val="48AC1AD4"/>
    <w:rsid w:val="4C306BF1"/>
    <w:rsid w:val="4CD461B9"/>
    <w:rsid w:val="4DE00609"/>
    <w:rsid w:val="4F473632"/>
    <w:rsid w:val="5C1B7877"/>
    <w:rsid w:val="714E067F"/>
    <w:rsid w:val="71F84546"/>
    <w:rsid w:val="7963750B"/>
    <w:rsid w:val="7C1B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22"/>
    <w:rPr>
      <w:b/>
      <w:bCs/>
    </w:rPr>
  </w:style>
  <w:style w:type="character" w:styleId="9">
    <w:name w:val="Hyperlink"/>
    <w:basedOn w:val="7"/>
    <w:qFormat/>
    <w:uiPriority w:val="99"/>
    <w:rPr>
      <w:color w:val="0563C1"/>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7"/>
    <w:qFormat/>
    <w:uiPriority w:val="99"/>
    <w:rPr>
      <w:color w:val="605E5C"/>
      <w:shd w:val="clear" w:color="auto" w:fill="E1DFDD"/>
    </w:rPr>
  </w:style>
  <w:style w:type="paragraph" w:customStyle="1" w:styleId="15">
    <w:name w:val="Char"/>
    <w:basedOn w:val="1"/>
    <w:qFormat/>
    <w:uiPriority w:val="0"/>
    <w:pPr>
      <w:widowControl/>
      <w:ind w:firstLine="420" w:firstLineChars="200"/>
      <w:jc w:val="left"/>
    </w:pPr>
    <w:rPr>
      <w:rFonts w:ascii="Times New Roman" w:hAnsi="宋体" w:eastAsia="宋体" w:cs="Times New Roman"/>
      <w:color w:val="000000"/>
      <w:szCs w:val="24"/>
      <w:lang w:bidi="he-I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681</Words>
  <Characters>799</Characters>
  <Lines>10</Lines>
  <Paragraphs>2</Paragraphs>
  <TotalTime>25</TotalTime>
  <ScaleCrop>false</ScaleCrop>
  <LinksUpToDate>false</LinksUpToDate>
  <CharactersWithSpaces>802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2025-03-26T04:20:00Z</dcterms:created>
  <dc:creator>Yang YU</dc:creator>
  <cp:lastModifiedBy>MECHREVO</cp:lastModifiedBy>
  <dcterms:modified xsi:type="dcterms:W3CDTF">2025-04-22T09:47:45Z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D87FA5CC8D3F4DE3B5233698D154B73E_13</vt:lpwstr>
  </property>
  <property fmtid="{D5CDD505-2E9C-101B-9397-08002B2CF9AE}" pid="4" name="KSOTemplateDocerSaveRecord">
    <vt:lpwstr>eyJoZGlkIjoiZjRmN2MxY2QwZWVlM2E3YTc2NjQ2NjM5YWU0ZjIxYTgifQ==</vt:lpwstr>
  </property>
</Properties>
</file>